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2"/>
          <w:szCs w:val="32"/>
          <w:lang w:val="en-US" w:eastAsia="zh-CN"/>
        </w:rPr>
      </w:pPr>
      <w:r>
        <w:rPr>
          <w:rFonts w:hint="eastAsia" w:ascii="方正小标宋简体" w:eastAsia="方正小标宋简体"/>
          <w:sz w:val="32"/>
          <w:szCs w:val="32"/>
        </w:rPr>
        <w:t>安阳市财政局行政相对人违法风险点及防控措施</w:t>
      </w:r>
      <w:r>
        <w:rPr>
          <w:rFonts w:hint="eastAsia" w:ascii="方正小标宋简体" w:eastAsia="方正小标宋简体"/>
          <w:sz w:val="32"/>
          <w:szCs w:val="32"/>
          <w:lang w:val="en-US" w:eastAsia="zh-CN"/>
        </w:rPr>
        <w:t>清单</w:t>
      </w:r>
    </w:p>
    <w:tbl>
      <w:tblPr>
        <w:tblStyle w:val="6"/>
        <w:tblpPr w:leftFromText="180" w:rightFromText="180" w:horzAnchor="margin" w:tblpY="84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276"/>
        <w:gridCol w:w="1559"/>
        <w:gridCol w:w="709"/>
        <w:gridCol w:w="5812"/>
        <w:gridCol w:w="2949"/>
        <w:gridCol w:w="11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sz w:val="18"/>
                <w:szCs w:val="18"/>
              </w:rPr>
            </w:pPr>
            <w:r>
              <w:rPr>
                <w:rFonts w:hint="eastAsia"/>
                <w:sz w:val="18"/>
                <w:szCs w:val="18"/>
              </w:rPr>
              <w:t>序号</w:t>
            </w:r>
          </w:p>
        </w:tc>
        <w:tc>
          <w:tcPr>
            <w:tcW w:w="1276" w:type="dxa"/>
            <w:vAlign w:val="center"/>
          </w:tcPr>
          <w:p>
            <w:pPr>
              <w:jc w:val="center"/>
              <w:rPr>
                <w:sz w:val="18"/>
                <w:szCs w:val="18"/>
              </w:rPr>
            </w:pPr>
            <w:r>
              <w:rPr>
                <w:rFonts w:hint="eastAsia"/>
                <w:sz w:val="18"/>
                <w:szCs w:val="18"/>
              </w:rPr>
              <w:t>行政相对人</w:t>
            </w:r>
          </w:p>
        </w:tc>
        <w:tc>
          <w:tcPr>
            <w:tcW w:w="1559" w:type="dxa"/>
            <w:vAlign w:val="center"/>
          </w:tcPr>
          <w:p>
            <w:pPr>
              <w:jc w:val="center"/>
              <w:rPr>
                <w:sz w:val="18"/>
                <w:szCs w:val="18"/>
              </w:rPr>
            </w:pPr>
            <w:r>
              <w:rPr>
                <w:rFonts w:hint="eastAsia"/>
                <w:sz w:val="18"/>
                <w:szCs w:val="18"/>
              </w:rPr>
              <w:t>违法风险点</w:t>
            </w:r>
          </w:p>
        </w:tc>
        <w:tc>
          <w:tcPr>
            <w:tcW w:w="709" w:type="dxa"/>
            <w:vAlign w:val="center"/>
          </w:tcPr>
          <w:p>
            <w:pPr>
              <w:jc w:val="center"/>
              <w:rPr>
                <w:sz w:val="18"/>
                <w:szCs w:val="18"/>
              </w:rPr>
            </w:pPr>
            <w:r>
              <w:rPr>
                <w:rFonts w:hint="eastAsia"/>
                <w:sz w:val="18"/>
                <w:szCs w:val="18"/>
              </w:rPr>
              <w:t>风险等级</w:t>
            </w:r>
          </w:p>
        </w:tc>
        <w:tc>
          <w:tcPr>
            <w:tcW w:w="5812" w:type="dxa"/>
            <w:vAlign w:val="center"/>
          </w:tcPr>
          <w:p>
            <w:pPr>
              <w:jc w:val="center"/>
              <w:rPr>
                <w:sz w:val="18"/>
                <w:szCs w:val="18"/>
              </w:rPr>
            </w:pPr>
            <w:r>
              <w:rPr>
                <w:rFonts w:hint="eastAsia"/>
                <w:sz w:val="18"/>
                <w:szCs w:val="18"/>
              </w:rPr>
              <w:t>处理处罚依据</w:t>
            </w:r>
          </w:p>
        </w:tc>
        <w:tc>
          <w:tcPr>
            <w:tcW w:w="2949" w:type="dxa"/>
            <w:vAlign w:val="center"/>
          </w:tcPr>
          <w:p>
            <w:pPr>
              <w:jc w:val="center"/>
              <w:rPr>
                <w:sz w:val="18"/>
                <w:szCs w:val="18"/>
              </w:rPr>
            </w:pPr>
            <w:r>
              <w:rPr>
                <w:rFonts w:hint="eastAsia"/>
                <w:sz w:val="18"/>
                <w:szCs w:val="18"/>
              </w:rPr>
              <w:t>防控措施</w:t>
            </w:r>
          </w:p>
        </w:tc>
        <w:tc>
          <w:tcPr>
            <w:tcW w:w="1194" w:type="dxa"/>
            <w:vAlign w:val="center"/>
          </w:tcPr>
          <w:p>
            <w:pPr>
              <w:jc w:val="center"/>
              <w:rPr>
                <w:sz w:val="18"/>
                <w:szCs w:val="18"/>
              </w:rPr>
            </w:pPr>
            <w:r>
              <w:rPr>
                <w:rFonts w:hint="eastAsia"/>
                <w:sz w:val="18"/>
                <w:szCs w:val="18"/>
              </w:rPr>
              <w:t>责任单位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sz w:val="18"/>
                <w:szCs w:val="18"/>
              </w:rPr>
            </w:pPr>
            <w:r>
              <w:rPr>
                <w:rFonts w:hint="eastAsia"/>
                <w:sz w:val="18"/>
                <w:szCs w:val="18"/>
              </w:rPr>
              <w:t>1</w:t>
            </w:r>
          </w:p>
        </w:tc>
        <w:tc>
          <w:tcPr>
            <w:tcW w:w="1276" w:type="dxa"/>
            <w:vAlign w:val="center"/>
          </w:tcPr>
          <w:p>
            <w:pPr>
              <w:rPr>
                <w:sz w:val="18"/>
                <w:szCs w:val="18"/>
              </w:rPr>
            </w:pPr>
            <w:r>
              <w:rPr>
                <w:rFonts w:hint="eastAsia"/>
                <w:sz w:val="18"/>
                <w:szCs w:val="18"/>
              </w:rPr>
              <w:t>供应商</w:t>
            </w:r>
          </w:p>
        </w:tc>
        <w:tc>
          <w:tcPr>
            <w:tcW w:w="1559" w:type="dxa"/>
            <w:vAlign w:val="center"/>
          </w:tcPr>
          <w:p>
            <w:pPr>
              <w:rPr>
                <w:sz w:val="18"/>
                <w:szCs w:val="18"/>
              </w:rPr>
            </w:pPr>
            <w:r>
              <w:rPr>
                <w:rFonts w:hint="eastAsia"/>
                <w:sz w:val="18"/>
                <w:szCs w:val="18"/>
              </w:rPr>
              <w:t>供应商提供虚假材料谋取中标、成交</w:t>
            </w:r>
          </w:p>
        </w:tc>
        <w:tc>
          <w:tcPr>
            <w:tcW w:w="709" w:type="dxa"/>
            <w:vAlign w:val="center"/>
          </w:tcPr>
          <w:p>
            <w:pPr>
              <w:jc w:val="center"/>
              <w:rPr>
                <w:sz w:val="18"/>
                <w:szCs w:val="18"/>
              </w:rPr>
            </w:pPr>
            <w:r>
              <w:rPr>
                <w:rFonts w:hint="eastAsia"/>
                <w:sz w:val="18"/>
                <w:szCs w:val="18"/>
              </w:rPr>
              <w:t>低</w:t>
            </w:r>
          </w:p>
        </w:tc>
        <w:tc>
          <w:tcPr>
            <w:tcW w:w="5812" w:type="dxa"/>
            <w:vAlign w:val="center"/>
          </w:tcPr>
          <w:p>
            <w:pPr>
              <w:rPr>
                <w:sz w:val="18"/>
                <w:szCs w:val="18"/>
              </w:rPr>
            </w:pPr>
            <w:r>
              <w:rPr>
                <w:rFonts w:hint="eastAsia"/>
                <w:sz w:val="18"/>
                <w:szCs w:val="18"/>
              </w:rPr>
              <w:t>《政府采购法》第七十七条 供应商有下列情形之一的,处以采购金额千分五以上千分之十以下的罚款,列入不良行为记录名单,在一至三年内禁止参加政府采购活动,有违法所得的,并处没收违法所得,情节严重的,由市场监管部门吊销营业执照；构成犯罪的,依法追究刑事责任：(一)提供虚假材料谋取中标、成交的:…</w:t>
            </w:r>
            <w:bookmarkStart w:id="0" w:name="_GoBack"/>
            <w:bookmarkEnd w:id="0"/>
          </w:p>
        </w:tc>
        <w:tc>
          <w:tcPr>
            <w:tcW w:w="2949" w:type="dxa"/>
            <w:vAlign w:val="center"/>
          </w:tcPr>
          <w:p>
            <w:pPr>
              <w:rPr>
                <w:sz w:val="18"/>
                <w:szCs w:val="18"/>
              </w:rPr>
            </w:pPr>
            <w:r>
              <w:rPr>
                <w:rFonts w:hint="eastAsia"/>
                <w:sz w:val="18"/>
                <w:szCs w:val="18"/>
              </w:rPr>
              <w:t>按照有法可依，执法必严，违法必究，严肃处理违法违纪供应商，维护法律权威,体现法律的公正性。纳入信用管理体系。</w:t>
            </w:r>
          </w:p>
        </w:tc>
        <w:tc>
          <w:tcPr>
            <w:tcW w:w="1194" w:type="dxa"/>
            <w:vAlign w:val="center"/>
          </w:tcPr>
          <w:p>
            <w:pPr>
              <w:rPr>
                <w:sz w:val="18"/>
                <w:szCs w:val="18"/>
              </w:rPr>
            </w:pPr>
            <w:r>
              <w:rPr>
                <w:rFonts w:hint="eastAsia"/>
                <w:sz w:val="18"/>
                <w:szCs w:val="18"/>
              </w:rPr>
              <w:t>政府采购监督管理科</w:t>
            </w:r>
          </w:p>
          <w:p>
            <w:pP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sz w:val="18"/>
                <w:szCs w:val="18"/>
              </w:rPr>
            </w:pPr>
            <w:r>
              <w:rPr>
                <w:rFonts w:hint="eastAsia"/>
                <w:sz w:val="18"/>
                <w:szCs w:val="18"/>
              </w:rPr>
              <w:t>2</w:t>
            </w:r>
          </w:p>
        </w:tc>
        <w:tc>
          <w:tcPr>
            <w:tcW w:w="1276" w:type="dxa"/>
            <w:vAlign w:val="center"/>
          </w:tcPr>
          <w:p>
            <w:pPr>
              <w:rPr>
                <w:sz w:val="18"/>
                <w:szCs w:val="18"/>
              </w:rPr>
            </w:pPr>
            <w:r>
              <w:rPr>
                <w:rFonts w:hint="eastAsia"/>
                <w:sz w:val="18"/>
                <w:szCs w:val="18"/>
              </w:rPr>
              <w:t>评审专家</w:t>
            </w:r>
          </w:p>
          <w:p>
            <w:pPr>
              <w:rPr>
                <w:sz w:val="18"/>
                <w:szCs w:val="18"/>
              </w:rPr>
            </w:pPr>
          </w:p>
        </w:tc>
        <w:tc>
          <w:tcPr>
            <w:tcW w:w="1559" w:type="dxa"/>
            <w:vAlign w:val="center"/>
          </w:tcPr>
          <w:p>
            <w:pPr>
              <w:rPr>
                <w:sz w:val="18"/>
                <w:szCs w:val="18"/>
              </w:rPr>
            </w:pPr>
            <w:r>
              <w:rPr>
                <w:rFonts w:hint="eastAsia"/>
                <w:sz w:val="18"/>
                <w:szCs w:val="18"/>
              </w:rPr>
              <w:t>评审专家未按照采购文件规定的评审程序、评审方法和评审标准进行独立评审</w:t>
            </w:r>
          </w:p>
        </w:tc>
        <w:tc>
          <w:tcPr>
            <w:tcW w:w="709" w:type="dxa"/>
            <w:vAlign w:val="center"/>
          </w:tcPr>
          <w:p>
            <w:pPr>
              <w:jc w:val="center"/>
              <w:rPr>
                <w:sz w:val="18"/>
                <w:szCs w:val="18"/>
              </w:rPr>
            </w:pPr>
            <w:r>
              <w:rPr>
                <w:rFonts w:hint="eastAsia"/>
                <w:sz w:val="18"/>
                <w:szCs w:val="18"/>
              </w:rPr>
              <w:t>低</w:t>
            </w:r>
          </w:p>
        </w:tc>
        <w:tc>
          <w:tcPr>
            <w:tcW w:w="5812" w:type="dxa"/>
            <w:vAlign w:val="center"/>
          </w:tcPr>
          <w:p>
            <w:pPr>
              <w:rPr>
                <w:sz w:val="18"/>
                <w:szCs w:val="18"/>
              </w:rPr>
            </w:pPr>
            <w:r>
              <w:rPr>
                <w:rFonts w:hint="eastAsia"/>
                <w:sz w:val="18"/>
                <w:szCs w:val="18"/>
              </w:rPr>
              <w:t>《政府采购评审专家管理办法》第二十九条申请人或评审专家有下列情形的,列入不良行为记录：(一)未按照采购文件规定的评审程序、评审方法和评审标准进行独立评审;…</w:t>
            </w:r>
          </w:p>
        </w:tc>
        <w:tc>
          <w:tcPr>
            <w:tcW w:w="2949" w:type="dxa"/>
            <w:vAlign w:val="center"/>
          </w:tcPr>
          <w:p>
            <w:pPr>
              <w:rPr>
                <w:sz w:val="18"/>
                <w:szCs w:val="18"/>
              </w:rPr>
            </w:pPr>
            <w:r>
              <w:rPr>
                <w:rFonts w:hint="eastAsia"/>
                <w:sz w:val="18"/>
                <w:szCs w:val="18"/>
              </w:rPr>
              <w:t>严肃处理违规违纪政府采购评审专家，维护法律权威,体现法律的公正性，维护投标供应商的正当合法权益。纳入信用管理体系。</w:t>
            </w:r>
          </w:p>
        </w:tc>
        <w:tc>
          <w:tcPr>
            <w:tcW w:w="1194" w:type="dxa"/>
            <w:vAlign w:val="center"/>
          </w:tcPr>
          <w:p>
            <w:pPr>
              <w:rPr>
                <w:sz w:val="18"/>
                <w:szCs w:val="18"/>
              </w:rPr>
            </w:pPr>
            <w:r>
              <w:rPr>
                <w:rFonts w:hint="eastAsia"/>
                <w:sz w:val="18"/>
                <w:szCs w:val="18"/>
              </w:rPr>
              <w:t>政府采购监督管理科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sz w:val="18"/>
                <w:szCs w:val="18"/>
              </w:rPr>
            </w:pPr>
            <w:r>
              <w:rPr>
                <w:rFonts w:hint="eastAsia"/>
                <w:sz w:val="18"/>
                <w:szCs w:val="18"/>
              </w:rPr>
              <w:t>3</w:t>
            </w:r>
          </w:p>
        </w:tc>
        <w:tc>
          <w:tcPr>
            <w:tcW w:w="1276" w:type="dxa"/>
            <w:vAlign w:val="center"/>
          </w:tcPr>
          <w:p>
            <w:pPr>
              <w:rPr>
                <w:sz w:val="18"/>
                <w:szCs w:val="18"/>
              </w:rPr>
            </w:pPr>
            <w:r>
              <w:rPr>
                <w:rFonts w:hint="eastAsia"/>
                <w:sz w:val="18"/>
                <w:szCs w:val="18"/>
              </w:rPr>
              <w:t>单位和个人</w:t>
            </w:r>
          </w:p>
          <w:p>
            <w:pPr>
              <w:rPr>
                <w:sz w:val="18"/>
                <w:szCs w:val="18"/>
              </w:rPr>
            </w:pPr>
          </w:p>
        </w:tc>
        <w:tc>
          <w:tcPr>
            <w:tcW w:w="1559" w:type="dxa"/>
            <w:vAlign w:val="center"/>
          </w:tcPr>
          <w:p>
            <w:pPr>
              <w:rPr>
                <w:sz w:val="18"/>
                <w:szCs w:val="18"/>
              </w:rPr>
            </w:pPr>
            <w:r>
              <w:rPr>
                <w:rFonts w:hint="eastAsia"/>
                <w:sz w:val="18"/>
                <w:szCs w:val="18"/>
              </w:rPr>
              <w:t>违反财务管理规定私存私放财政资金或者其他公款</w:t>
            </w:r>
          </w:p>
        </w:tc>
        <w:tc>
          <w:tcPr>
            <w:tcW w:w="709" w:type="dxa"/>
            <w:vAlign w:val="center"/>
          </w:tcPr>
          <w:p>
            <w:pPr>
              <w:jc w:val="center"/>
              <w:rPr>
                <w:sz w:val="18"/>
                <w:szCs w:val="18"/>
              </w:rPr>
            </w:pPr>
            <w:r>
              <w:rPr>
                <w:rFonts w:hint="eastAsia"/>
                <w:sz w:val="18"/>
                <w:szCs w:val="18"/>
              </w:rPr>
              <w:t>中</w:t>
            </w:r>
          </w:p>
        </w:tc>
        <w:tc>
          <w:tcPr>
            <w:tcW w:w="5812" w:type="dxa"/>
            <w:vAlign w:val="center"/>
          </w:tcPr>
          <w:p>
            <w:pPr>
              <w:rPr>
                <w:sz w:val="18"/>
                <w:szCs w:val="18"/>
              </w:rPr>
            </w:pPr>
            <w:r>
              <w:rPr>
                <w:rFonts w:hint="eastAsia"/>
                <w:sz w:val="18"/>
                <w:szCs w:val="18"/>
              </w:rPr>
              <w:t>《财政违法行为处罚处分条例》(2020年最新修订)第二条第一款:“县级以上人民政府财政部门及审计机关在各自职权范围内,依法对财政违法行为作出处理、处罚决定。"第十七条:“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tc>
        <w:tc>
          <w:tcPr>
            <w:tcW w:w="2949" w:type="dxa"/>
            <w:vAlign w:val="center"/>
          </w:tcPr>
          <w:p>
            <w:pPr>
              <w:rPr>
                <w:sz w:val="18"/>
                <w:szCs w:val="18"/>
              </w:rPr>
            </w:pPr>
            <w:r>
              <w:rPr>
                <w:rFonts w:hint="eastAsia"/>
                <w:sz w:val="18"/>
                <w:szCs w:val="18"/>
              </w:rPr>
              <w:t>加强监督检查，对发现违反财务管理规定行为的，严格按照规定进行处理。</w:t>
            </w:r>
          </w:p>
          <w:p>
            <w:pPr>
              <w:rPr>
                <w:sz w:val="18"/>
                <w:szCs w:val="18"/>
              </w:rPr>
            </w:pPr>
          </w:p>
          <w:p>
            <w:pPr>
              <w:rPr>
                <w:sz w:val="18"/>
                <w:szCs w:val="18"/>
              </w:rPr>
            </w:pPr>
          </w:p>
        </w:tc>
        <w:tc>
          <w:tcPr>
            <w:tcW w:w="1194" w:type="dxa"/>
            <w:vAlign w:val="center"/>
          </w:tcPr>
          <w:p>
            <w:pPr>
              <w:rPr>
                <w:sz w:val="18"/>
                <w:szCs w:val="18"/>
              </w:rPr>
            </w:pPr>
            <w:r>
              <w:rPr>
                <w:rFonts w:hint="eastAsia"/>
                <w:sz w:val="18"/>
                <w:szCs w:val="18"/>
              </w:rPr>
              <w:t>财政监督检查办</w:t>
            </w:r>
          </w:p>
          <w:p>
            <w:pP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sz w:val="18"/>
                <w:szCs w:val="18"/>
              </w:rPr>
            </w:pPr>
            <w:r>
              <w:rPr>
                <w:rFonts w:hint="eastAsia"/>
                <w:sz w:val="18"/>
                <w:szCs w:val="18"/>
              </w:rPr>
              <w:t>4</w:t>
            </w:r>
          </w:p>
        </w:tc>
        <w:tc>
          <w:tcPr>
            <w:tcW w:w="1276" w:type="dxa"/>
            <w:vAlign w:val="center"/>
          </w:tcPr>
          <w:p>
            <w:pPr>
              <w:rPr>
                <w:sz w:val="18"/>
                <w:szCs w:val="18"/>
              </w:rPr>
            </w:pPr>
            <w:r>
              <w:rPr>
                <w:rFonts w:hint="eastAsia"/>
                <w:sz w:val="18"/>
                <w:szCs w:val="18"/>
              </w:rPr>
              <w:t>企业和个人</w:t>
            </w:r>
          </w:p>
        </w:tc>
        <w:tc>
          <w:tcPr>
            <w:tcW w:w="1559" w:type="dxa"/>
            <w:vAlign w:val="center"/>
          </w:tcPr>
          <w:p>
            <w:pPr>
              <w:rPr>
                <w:sz w:val="18"/>
                <w:szCs w:val="18"/>
              </w:rPr>
            </w:pPr>
            <w:r>
              <w:rPr>
                <w:rFonts w:hint="eastAsia"/>
                <w:sz w:val="18"/>
                <w:szCs w:val="18"/>
              </w:rPr>
              <w:t>不缴或者少缴财政收入</w:t>
            </w:r>
          </w:p>
        </w:tc>
        <w:tc>
          <w:tcPr>
            <w:tcW w:w="709" w:type="dxa"/>
            <w:vAlign w:val="center"/>
          </w:tcPr>
          <w:p>
            <w:pPr>
              <w:jc w:val="center"/>
              <w:rPr>
                <w:sz w:val="18"/>
                <w:szCs w:val="18"/>
              </w:rPr>
            </w:pPr>
            <w:r>
              <w:rPr>
                <w:rFonts w:hint="eastAsia"/>
                <w:sz w:val="18"/>
                <w:szCs w:val="18"/>
              </w:rPr>
              <w:t>低</w:t>
            </w:r>
          </w:p>
        </w:tc>
        <w:tc>
          <w:tcPr>
            <w:tcW w:w="5812" w:type="dxa"/>
            <w:vAlign w:val="center"/>
          </w:tcPr>
          <w:p>
            <w:pPr>
              <w:rPr>
                <w:sz w:val="18"/>
                <w:szCs w:val="18"/>
              </w:rPr>
            </w:pPr>
            <w:r>
              <w:rPr>
                <w:rFonts w:hint="eastAsia"/>
                <w:sz w:val="18"/>
                <w:szCs w:val="18"/>
              </w:rPr>
              <w:t>《财政违法行为处罚处分条例》(2020年最新修订)第二条第一款:“县级以上人民政府财政部门及审计机关在各自职权范围内,依法对财政违法行为作出处理、处罚决定。” 第十三条:“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一)隐瞒应当上缴的财政收入；(二)截留代收的财政收入；(三)其他不缴或者少缴财政收入的行为。属于税收方面的违法行为,依照有关税收法律、行政法规的规定处理、处罚。”第十五条:“事业单位、社会团体、其他社会组织及其工作人员有财政违法行为的。依照本条例有关国家机关的规定执行；但其在经营活动中的财政违法行为,依照本条例第十三条、第十四条的规定执行。</w:t>
            </w:r>
          </w:p>
          <w:p>
            <w:pPr>
              <w:rPr>
                <w:sz w:val="18"/>
                <w:szCs w:val="18"/>
              </w:rPr>
            </w:pPr>
            <w:r>
              <w:rPr>
                <w:rFonts w:hint="eastAsia"/>
                <w:sz w:val="18"/>
                <w:szCs w:val="18"/>
              </w:rPr>
              <w:t>《中华人民共和国行政处罚法》相关条款…</w:t>
            </w:r>
          </w:p>
        </w:tc>
        <w:tc>
          <w:tcPr>
            <w:tcW w:w="2949" w:type="dxa"/>
            <w:vAlign w:val="center"/>
          </w:tcPr>
          <w:p>
            <w:pPr>
              <w:rPr>
                <w:sz w:val="18"/>
                <w:szCs w:val="18"/>
              </w:rPr>
            </w:pPr>
            <w:r>
              <w:rPr>
                <w:rFonts w:hint="eastAsia"/>
                <w:sz w:val="18"/>
                <w:szCs w:val="18"/>
              </w:rPr>
              <w:t>加强监督检查，对发现违反财务管理规定行为的，严格技照规定进行处理，纳入信用管理体系。</w:t>
            </w:r>
          </w:p>
          <w:p>
            <w:pPr>
              <w:rPr>
                <w:sz w:val="18"/>
                <w:szCs w:val="18"/>
              </w:rPr>
            </w:pPr>
          </w:p>
          <w:p>
            <w:pPr>
              <w:rPr>
                <w:sz w:val="18"/>
                <w:szCs w:val="18"/>
              </w:rPr>
            </w:pPr>
          </w:p>
          <w:p>
            <w:pPr>
              <w:rPr>
                <w:sz w:val="18"/>
                <w:szCs w:val="18"/>
              </w:rPr>
            </w:pPr>
          </w:p>
        </w:tc>
        <w:tc>
          <w:tcPr>
            <w:tcW w:w="1194" w:type="dxa"/>
            <w:vAlign w:val="center"/>
          </w:tcPr>
          <w:p>
            <w:pPr>
              <w:rPr>
                <w:sz w:val="18"/>
                <w:szCs w:val="18"/>
              </w:rPr>
            </w:pPr>
            <w:r>
              <w:rPr>
                <w:rFonts w:hint="eastAsia"/>
                <w:sz w:val="18"/>
                <w:szCs w:val="18"/>
              </w:rPr>
              <w:t>财政监督检查办</w:t>
            </w:r>
          </w:p>
          <w:p>
            <w:pP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sz w:val="18"/>
                <w:szCs w:val="18"/>
              </w:rPr>
            </w:pPr>
            <w:r>
              <w:rPr>
                <w:rFonts w:hint="eastAsia"/>
                <w:sz w:val="18"/>
                <w:szCs w:val="18"/>
              </w:rPr>
              <w:t>5</w:t>
            </w:r>
          </w:p>
        </w:tc>
        <w:tc>
          <w:tcPr>
            <w:tcW w:w="1276" w:type="dxa"/>
            <w:vAlign w:val="center"/>
          </w:tcPr>
          <w:p>
            <w:pPr>
              <w:rPr>
                <w:sz w:val="18"/>
                <w:szCs w:val="18"/>
              </w:rPr>
            </w:pPr>
            <w:r>
              <w:rPr>
                <w:rFonts w:hint="eastAsia"/>
                <w:sz w:val="18"/>
                <w:szCs w:val="18"/>
              </w:rPr>
              <w:t>国家机关及其工作人员</w:t>
            </w:r>
          </w:p>
        </w:tc>
        <w:tc>
          <w:tcPr>
            <w:tcW w:w="1559" w:type="dxa"/>
            <w:vAlign w:val="center"/>
          </w:tcPr>
          <w:p>
            <w:pPr>
              <w:rPr>
                <w:sz w:val="18"/>
                <w:szCs w:val="18"/>
              </w:rPr>
            </w:pPr>
            <w:r>
              <w:rPr>
                <w:rFonts w:hint="eastAsia"/>
                <w:sz w:val="18"/>
                <w:szCs w:val="18"/>
              </w:rPr>
              <w:t>违反规定使用、骗取财政资金行为</w:t>
            </w:r>
          </w:p>
        </w:tc>
        <w:tc>
          <w:tcPr>
            <w:tcW w:w="709" w:type="dxa"/>
            <w:vAlign w:val="center"/>
          </w:tcPr>
          <w:p>
            <w:pPr>
              <w:jc w:val="center"/>
              <w:rPr>
                <w:sz w:val="18"/>
                <w:szCs w:val="18"/>
              </w:rPr>
            </w:pPr>
            <w:r>
              <w:rPr>
                <w:rFonts w:hint="eastAsia"/>
                <w:sz w:val="18"/>
                <w:szCs w:val="18"/>
              </w:rPr>
              <w:t>低</w:t>
            </w:r>
          </w:p>
        </w:tc>
        <w:tc>
          <w:tcPr>
            <w:tcW w:w="5812" w:type="dxa"/>
            <w:vAlign w:val="center"/>
          </w:tcPr>
          <w:p>
            <w:pPr>
              <w:rPr>
                <w:sz w:val="18"/>
                <w:szCs w:val="18"/>
              </w:rPr>
            </w:pPr>
            <w:r>
              <w:rPr>
                <w:rFonts w:hint="eastAsia"/>
                <w:sz w:val="18"/>
                <w:szCs w:val="18"/>
              </w:rPr>
              <w:t>《财政违法行为处罚处分条例》(2020年最新修订)第二条“县级以上人民政府财政部门及审计机关在各自职权范围内,依法对财政违法行为作出处理、处罚决定。”第六条:“国家机关及其工作人员有下例违反规定使用、骗取财政资金的行为之一的,资令改正,调整有关会计账目,追回有关财政资金,限期退还违法所得。对单位给予警告或者通报批评。对直接负责的主管人员和其他直接责任人员给予记大过处份；情节较重的,给予降级或者撒职处分；情节严重的,给予开除处分: (一)以虚报、冒领等手段骗取财政资金；(二 )截留、挪用财政资金；( 三)滞留应当下的财政资金；(四)违反规定扩大开支范围,提高开支标准；(五)其他违反规定使用、前取财政资金的行为。”</w:t>
            </w:r>
          </w:p>
        </w:tc>
        <w:tc>
          <w:tcPr>
            <w:tcW w:w="2949" w:type="dxa"/>
            <w:vAlign w:val="center"/>
          </w:tcPr>
          <w:p>
            <w:pPr>
              <w:rPr>
                <w:sz w:val="18"/>
                <w:szCs w:val="18"/>
              </w:rPr>
            </w:pPr>
            <w:r>
              <w:rPr>
                <w:rFonts w:hint="eastAsia"/>
                <w:sz w:val="18"/>
                <w:szCs w:val="18"/>
              </w:rPr>
              <w:t>加强监督检查,对发现违反规定使用、骗取财政资金行为的，严格按照规定进行处理。</w:t>
            </w:r>
          </w:p>
        </w:tc>
        <w:tc>
          <w:tcPr>
            <w:tcW w:w="1194" w:type="dxa"/>
            <w:vAlign w:val="center"/>
          </w:tcPr>
          <w:p>
            <w:pPr>
              <w:rPr>
                <w:sz w:val="18"/>
                <w:szCs w:val="18"/>
              </w:rPr>
            </w:pPr>
            <w:r>
              <w:rPr>
                <w:rFonts w:hint="eastAsia"/>
                <w:sz w:val="18"/>
                <w:szCs w:val="18"/>
              </w:rPr>
              <w:t>财政监督检查办</w:t>
            </w:r>
          </w:p>
          <w:p>
            <w:pP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sz w:val="18"/>
                <w:szCs w:val="18"/>
              </w:rPr>
            </w:pPr>
            <w:r>
              <w:rPr>
                <w:rFonts w:hint="eastAsia"/>
                <w:sz w:val="18"/>
                <w:szCs w:val="18"/>
              </w:rPr>
              <w:t>6</w:t>
            </w:r>
          </w:p>
        </w:tc>
        <w:tc>
          <w:tcPr>
            <w:tcW w:w="1276" w:type="dxa"/>
            <w:vAlign w:val="center"/>
          </w:tcPr>
          <w:p>
            <w:pPr>
              <w:rPr>
                <w:sz w:val="18"/>
                <w:szCs w:val="18"/>
              </w:rPr>
            </w:pPr>
            <w:r>
              <w:rPr>
                <w:rFonts w:hint="eastAsia"/>
                <w:sz w:val="18"/>
                <w:szCs w:val="18"/>
              </w:rPr>
              <w:t>国家机关、事业单位、</w:t>
            </w:r>
          </w:p>
          <w:p>
            <w:pPr>
              <w:rPr>
                <w:sz w:val="18"/>
                <w:szCs w:val="18"/>
              </w:rPr>
            </w:pPr>
            <w:r>
              <w:rPr>
                <w:rFonts w:hint="eastAsia"/>
                <w:sz w:val="18"/>
                <w:szCs w:val="18"/>
              </w:rPr>
              <w:t>社会团体、</w:t>
            </w:r>
          </w:p>
          <w:p>
            <w:pPr>
              <w:rPr>
                <w:sz w:val="18"/>
                <w:szCs w:val="18"/>
              </w:rPr>
            </w:pPr>
            <w:r>
              <w:rPr>
                <w:rFonts w:hint="eastAsia"/>
                <w:sz w:val="18"/>
                <w:szCs w:val="18"/>
              </w:rPr>
              <w:t>企业以及其他组织</w:t>
            </w:r>
          </w:p>
        </w:tc>
        <w:tc>
          <w:tcPr>
            <w:tcW w:w="1559" w:type="dxa"/>
            <w:vAlign w:val="center"/>
          </w:tcPr>
          <w:p>
            <w:pPr>
              <w:rPr>
                <w:sz w:val="18"/>
                <w:szCs w:val="18"/>
              </w:rPr>
            </w:pPr>
            <w:r>
              <w:rPr>
                <w:rFonts w:hint="eastAsia"/>
                <w:sz w:val="18"/>
                <w:szCs w:val="18"/>
              </w:rPr>
              <w:t>不依法设置会计胀簿；会计凭证、会计帐簿、财务务会计报告和其他会计资料不真实、不完整；会计核算不符合本法和国家统一的会计制度规定； 从事会计工作的人员不具备从业资格。</w:t>
            </w:r>
          </w:p>
        </w:tc>
        <w:tc>
          <w:tcPr>
            <w:tcW w:w="709" w:type="dxa"/>
            <w:vAlign w:val="center"/>
          </w:tcPr>
          <w:p>
            <w:pPr>
              <w:jc w:val="center"/>
              <w:rPr>
                <w:sz w:val="18"/>
                <w:szCs w:val="18"/>
              </w:rPr>
            </w:pPr>
            <w:r>
              <w:rPr>
                <w:rFonts w:hint="eastAsia"/>
                <w:sz w:val="18"/>
                <w:szCs w:val="18"/>
              </w:rPr>
              <w:t>低</w:t>
            </w:r>
          </w:p>
        </w:tc>
        <w:tc>
          <w:tcPr>
            <w:tcW w:w="5812" w:type="dxa"/>
            <w:vAlign w:val="center"/>
          </w:tcPr>
          <w:p>
            <w:pPr>
              <w:rPr>
                <w:sz w:val="18"/>
                <w:szCs w:val="18"/>
              </w:rPr>
            </w:pPr>
            <w:r>
              <w:rPr>
                <w:rFonts w:hint="eastAsia"/>
                <w:sz w:val="18"/>
                <w:szCs w:val="18"/>
              </w:rPr>
              <w:t>中华人民共和国会计法》第三十二条:“财政部门对各单位的下列情况实施监督：(一)是否依法设置会计账簿；(二)会计凭证、会计账簿、财务会计报告和其他会计资料是否真实、完整；(三)会计核算是否符合本法和国家统一的会计制度的规定；(四)从事会计工作的人员是否具备专业能力、遵守职业道德。在对前款第(二)项所列事项实施监督, 发现重大违法嫌疑时,国务院财政部门及其派出机构可以向与被监督单位有经济业务往来的单位和被监督单位开立账户的金融机构查询有关情况,有关单位和金融机构应当给予支持。”</w:t>
            </w:r>
          </w:p>
        </w:tc>
        <w:tc>
          <w:tcPr>
            <w:tcW w:w="2949" w:type="dxa"/>
            <w:vAlign w:val="center"/>
          </w:tcPr>
          <w:p>
            <w:pPr>
              <w:rPr>
                <w:sz w:val="18"/>
                <w:szCs w:val="18"/>
              </w:rPr>
            </w:pPr>
            <w:r>
              <w:rPr>
                <w:rFonts w:hint="eastAsia"/>
                <w:sz w:val="18"/>
                <w:szCs w:val="18"/>
              </w:rPr>
              <w:t>加强监督检查和工作指导,抓好会计人员的培训。发现问题及时指导整改。</w:t>
            </w:r>
          </w:p>
          <w:p>
            <w:pPr>
              <w:rPr>
                <w:sz w:val="18"/>
                <w:szCs w:val="18"/>
              </w:rPr>
            </w:pPr>
          </w:p>
        </w:tc>
        <w:tc>
          <w:tcPr>
            <w:tcW w:w="1194" w:type="dxa"/>
            <w:vAlign w:val="center"/>
          </w:tcPr>
          <w:p>
            <w:pPr>
              <w:rPr>
                <w:sz w:val="18"/>
                <w:szCs w:val="18"/>
              </w:rPr>
            </w:pPr>
            <w:r>
              <w:rPr>
                <w:rFonts w:hint="eastAsia"/>
                <w:sz w:val="18"/>
                <w:szCs w:val="18"/>
              </w:rPr>
              <w:t>财政监督检查办</w:t>
            </w:r>
          </w:p>
          <w:p>
            <w:pPr>
              <w:rPr>
                <w:sz w:val="18"/>
                <w:szCs w:val="18"/>
              </w:rPr>
            </w:pPr>
            <w:r>
              <w:rPr>
                <w:rFonts w:hint="eastAsia"/>
                <w:sz w:val="18"/>
                <w:szCs w:val="18"/>
              </w:rPr>
              <w:t>会计科</w:t>
            </w:r>
          </w:p>
          <w:p>
            <w:pPr>
              <w:rPr>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sz w:val="18"/>
                <w:szCs w:val="18"/>
              </w:rPr>
            </w:pPr>
            <w:r>
              <w:rPr>
                <w:rFonts w:hint="eastAsia"/>
                <w:sz w:val="18"/>
                <w:szCs w:val="18"/>
              </w:rPr>
              <w:t>7</w:t>
            </w:r>
          </w:p>
        </w:tc>
        <w:tc>
          <w:tcPr>
            <w:tcW w:w="1276" w:type="dxa"/>
            <w:vAlign w:val="center"/>
          </w:tcPr>
          <w:p>
            <w:pPr>
              <w:rPr>
                <w:sz w:val="18"/>
                <w:szCs w:val="18"/>
              </w:rPr>
            </w:pPr>
            <w:r>
              <w:rPr>
                <w:rFonts w:hint="eastAsia"/>
                <w:sz w:val="18"/>
                <w:szCs w:val="18"/>
              </w:rPr>
              <w:t>全国会计专业技术资格</w:t>
            </w:r>
          </w:p>
          <w:p>
            <w:pPr>
              <w:rPr>
                <w:sz w:val="18"/>
                <w:szCs w:val="18"/>
              </w:rPr>
            </w:pPr>
            <w:r>
              <w:rPr>
                <w:rFonts w:hint="eastAsia"/>
                <w:sz w:val="18"/>
                <w:szCs w:val="18"/>
              </w:rPr>
              <w:t>考试考生</w:t>
            </w:r>
          </w:p>
          <w:p>
            <w:pPr>
              <w:rPr>
                <w:sz w:val="18"/>
                <w:szCs w:val="18"/>
              </w:rPr>
            </w:pPr>
          </w:p>
        </w:tc>
        <w:tc>
          <w:tcPr>
            <w:tcW w:w="1559" w:type="dxa"/>
            <w:vAlign w:val="center"/>
          </w:tcPr>
          <w:p>
            <w:pPr>
              <w:rPr>
                <w:sz w:val="18"/>
                <w:szCs w:val="18"/>
              </w:rPr>
            </w:pPr>
            <w:r>
              <w:rPr>
                <w:rFonts w:hint="eastAsia"/>
                <w:sz w:val="18"/>
                <w:szCs w:val="18"/>
              </w:rPr>
              <w:t>不符合报名条件或提供虚假资料</w:t>
            </w:r>
          </w:p>
        </w:tc>
        <w:tc>
          <w:tcPr>
            <w:tcW w:w="709" w:type="dxa"/>
            <w:vAlign w:val="center"/>
          </w:tcPr>
          <w:p>
            <w:pPr>
              <w:jc w:val="center"/>
              <w:rPr>
                <w:sz w:val="18"/>
                <w:szCs w:val="18"/>
              </w:rPr>
            </w:pPr>
            <w:r>
              <w:rPr>
                <w:rFonts w:hint="eastAsia"/>
                <w:sz w:val="18"/>
                <w:szCs w:val="18"/>
              </w:rPr>
              <w:t>低</w:t>
            </w:r>
          </w:p>
        </w:tc>
        <w:tc>
          <w:tcPr>
            <w:tcW w:w="5812" w:type="dxa"/>
            <w:vAlign w:val="center"/>
          </w:tcPr>
          <w:p>
            <w:pPr>
              <w:rPr>
                <w:sz w:val="18"/>
                <w:szCs w:val="18"/>
              </w:rPr>
            </w:pPr>
            <w:r>
              <w:rPr>
                <w:rFonts w:hint="eastAsia"/>
                <w:sz w:val="18"/>
                <w:szCs w:val="18"/>
              </w:rPr>
              <w:t>按照《专业技术人员资格考试违纪违规行为处理规定》(人社部31号令)第十条和《人力资源和社会保障部人事考试中心关于做好新版专业计专业技术人员职业资格证书发放相关工作的通知》(人考中心函(2018)6号)第一条第三坎规定处理。</w:t>
            </w:r>
          </w:p>
        </w:tc>
        <w:tc>
          <w:tcPr>
            <w:tcW w:w="2949" w:type="dxa"/>
            <w:vAlign w:val="center"/>
          </w:tcPr>
          <w:p>
            <w:pPr>
              <w:rPr>
                <w:sz w:val="18"/>
                <w:szCs w:val="18"/>
              </w:rPr>
            </w:pPr>
            <w:r>
              <w:rPr>
                <w:rFonts w:hint="eastAsia"/>
                <w:sz w:val="18"/>
                <w:szCs w:val="18"/>
              </w:rPr>
              <w:t>初级资格证书发放需考生本人拿本人身份证确认；中级资格证书发放技照考试当年《会计专业技术中高级资格考试考务日程安排及有关项的通知》中的报考条件对成绩合格人员实行复核、确认</w:t>
            </w:r>
          </w:p>
        </w:tc>
        <w:tc>
          <w:tcPr>
            <w:tcW w:w="1194" w:type="dxa"/>
            <w:vAlign w:val="center"/>
          </w:tcPr>
          <w:p>
            <w:pPr>
              <w:rPr>
                <w:sz w:val="18"/>
                <w:szCs w:val="18"/>
              </w:rPr>
            </w:pPr>
            <w:r>
              <w:rPr>
                <w:rFonts w:hint="eastAsia"/>
                <w:sz w:val="18"/>
                <w:szCs w:val="18"/>
              </w:rPr>
              <w:t>会计科</w:t>
            </w:r>
          </w:p>
        </w:tc>
      </w:tr>
    </w:tbl>
    <w:p>
      <w:pPr>
        <w:jc w:val="center"/>
        <w:rPr>
          <w:rFonts w:ascii="方正小标宋简体" w:eastAsia="方正小标宋简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幼圆">
    <w:altName w:val="宋体"/>
    <w:panose1 w:val="02010509060101010101"/>
    <w:charset w:val="86"/>
    <w:family w:val="modern"/>
    <w:pitch w:val="default"/>
    <w:sig w:usb0="00000000" w:usb1="00000000" w:usb2="00000010" w:usb3="00000000" w:csb0="00040000" w:csb1="00000000"/>
  </w:font>
  <w:font w:name="幼圆">
    <w:altName w:val="宋体"/>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QwM2FiNDcwMjYyZjA4ODFjZDA1Zjc2Y2I1MTgxYjMifQ=="/>
  </w:docVars>
  <w:rsids>
    <w:rsidRoot w:val="00E96889"/>
    <w:rsid w:val="00001B02"/>
    <w:rsid w:val="000030AD"/>
    <w:rsid w:val="00006434"/>
    <w:rsid w:val="00011B76"/>
    <w:rsid w:val="00013442"/>
    <w:rsid w:val="00020970"/>
    <w:rsid w:val="000300F6"/>
    <w:rsid w:val="000306D3"/>
    <w:rsid w:val="00032976"/>
    <w:rsid w:val="0003314A"/>
    <w:rsid w:val="00034CB4"/>
    <w:rsid w:val="00034E19"/>
    <w:rsid w:val="000376A7"/>
    <w:rsid w:val="00037882"/>
    <w:rsid w:val="00040C7A"/>
    <w:rsid w:val="00042E20"/>
    <w:rsid w:val="00052E03"/>
    <w:rsid w:val="000534C0"/>
    <w:rsid w:val="00054F6F"/>
    <w:rsid w:val="0007045E"/>
    <w:rsid w:val="00070A47"/>
    <w:rsid w:val="000714C9"/>
    <w:rsid w:val="000727F3"/>
    <w:rsid w:val="00075684"/>
    <w:rsid w:val="00080829"/>
    <w:rsid w:val="00084C2A"/>
    <w:rsid w:val="00086665"/>
    <w:rsid w:val="000906D7"/>
    <w:rsid w:val="0009488E"/>
    <w:rsid w:val="000A2298"/>
    <w:rsid w:val="000B05E9"/>
    <w:rsid w:val="000B1FAC"/>
    <w:rsid w:val="000B7A07"/>
    <w:rsid w:val="000B7B29"/>
    <w:rsid w:val="000C01C3"/>
    <w:rsid w:val="000C04F4"/>
    <w:rsid w:val="000C40DE"/>
    <w:rsid w:val="000C5803"/>
    <w:rsid w:val="000C6BD4"/>
    <w:rsid w:val="000D1FD8"/>
    <w:rsid w:val="000D559D"/>
    <w:rsid w:val="000E4E53"/>
    <w:rsid w:val="000E69CC"/>
    <w:rsid w:val="000E7B7D"/>
    <w:rsid w:val="000E7F28"/>
    <w:rsid w:val="000F30EE"/>
    <w:rsid w:val="000F4F63"/>
    <w:rsid w:val="000F622B"/>
    <w:rsid w:val="000F75B7"/>
    <w:rsid w:val="00100AB2"/>
    <w:rsid w:val="0010593B"/>
    <w:rsid w:val="00105F9A"/>
    <w:rsid w:val="00106C29"/>
    <w:rsid w:val="001076D4"/>
    <w:rsid w:val="00113910"/>
    <w:rsid w:val="00114831"/>
    <w:rsid w:val="00122ED4"/>
    <w:rsid w:val="001241F8"/>
    <w:rsid w:val="001271C8"/>
    <w:rsid w:val="0013335F"/>
    <w:rsid w:val="00133A21"/>
    <w:rsid w:val="0013425D"/>
    <w:rsid w:val="0014155A"/>
    <w:rsid w:val="00143FAC"/>
    <w:rsid w:val="001473A4"/>
    <w:rsid w:val="00153D1D"/>
    <w:rsid w:val="00153DD3"/>
    <w:rsid w:val="00154830"/>
    <w:rsid w:val="00154ACC"/>
    <w:rsid w:val="00156A63"/>
    <w:rsid w:val="00161EBD"/>
    <w:rsid w:val="00170095"/>
    <w:rsid w:val="001706B4"/>
    <w:rsid w:val="00171120"/>
    <w:rsid w:val="00172E48"/>
    <w:rsid w:val="00174768"/>
    <w:rsid w:val="00174E16"/>
    <w:rsid w:val="00175131"/>
    <w:rsid w:val="00175B25"/>
    <w:rsid w:val="00180194"/>
    <w:rsid w:val="001829DE"/>
    <w:rsid w:val="00183A3E"/>
    <w:rsid w:val="0019427E"/>
    <w:rsid w:val="00194E80"/>
    <w:rsid w:val="001A010A"/>
    <w:rsid w:val="001A3168"/>
    <w:rsid w:val="001A3C5E"/>
    <w:rsid w:val="001A3CC5"/>
    <w:rsid w:val="001B052D"/>
    <w:rsid w:val="001B0AB5"/>
    <w:rsid w:val="001B2811"/>
    <w:rsid w:val="001B400A"/>
    <w:rsid w:val="001B5CEB"/>
    <w:rsid w:val="001C24D5"/>
    <w:rsid w:val="001C373F"/>
    <w:rsid w:val="001C7999"/>
    <w:rsid w:val="001D1CA2"/>
    <w:rsid w:val="001D3DAF"/>
    <w:rsid w:val="001D4E57"/>
    <w:rsid w:val="001E1022"/>
    <w:rsid w:val="001E2BA0"/>
    <w:rsid w:val="001E2DC8"/>
    <w:rsid w:val="001E4FF5"/>
    <w:rsid w:val="001E6DD1"/>
    <w:rsid w:val="001E7E61"/>
    <w:rsid w:val="001F0B9B"/>
    <w:rsid w:val="00221C24"/>
    <w:rsid w:val="00221F8F"/>
    <w:rsid w:val="00222C1A"/>
    <w:rsid w:val="002237EB"/>
    <w:rsid w:val="00226655"/>
    <w:rsid w:val="00237360"/>
    <w:rsid w:val="00242D4C"/>
    <w:rsid w:val="00257019"/>
    <w:rsid w:val="00257E95"/>
    <w:rsid w:val="002663CA"/>
    <w:rsid w:val="00275909"/>
    <w:rsid w:val="00276D2E"/>
    <w:rsid w:val="002802BE"/>
    <w:rsid w:val="002840BC"/>
    <w:rsid w:val="00291A8C"/>
    <w:rsid w:val="002A16DA"/>
    <w:rsid w:val="002A2455"/>
    <w:rsid w:val="002B7EA8"/>
    <w:rsid w:val="002C07E7"/>
    <w:rsid w:val="002C0B36"/>
    <w:rsid w:val="002C2309"/>
    <w:rsid w:val="002C64CD"/>
    <w:rsid w:val="002C69B4"/>
    <w:rsid w:val="002D1F06"/>
    <w:rsid w:val="002F15DF"/>
    <w:rsid w:val="002F2708"/>
    <w:rsid w:val="002F34B7"/>
    <w:rsid w:val="002F4807"/>
    <w:rsid w:val="00301EE5"/>
    <w:rsid w:val="00302EEC"/>
    <w:rsid w:val="003045CD"/>
    <w:rsid w:val="003077AA"/>
    <w:rsid w:val="003116FD"/>
    <w:rsid w:val="00311990"/>
    <w:rsid w:val="00313AC5"/>
    <w:rsid w:val="00325F53"/>
    <w:rsid w:val="003301DB"/>
    <w:rsid w:val="003311DD"/>
    <w:rsid w:val="0033295C"/>
    <w:rsid w:val="00333A54"/>
    <w:rsid w:val="0033496C"/>
    <w:rsid w:val="00336DD2"/>
    <w:rsid w:val="003437D9"/>
    <w:rsid w:val="00355D65"/>
    <w:rsid w:val="00361732"/>
    <w:rsid w:val="00373D65"/>
    <w:rsid w:val="003761E7"/>
    <w:rsid w:val="0037647C"/>
    <w:rsid w:val="00377537"/>
    <w:rsid w:val="00377539"/>
    <w:rsid w:val="00377A9F"/>
    <w:rsid w:val="00381B5C"/>
    <w:rsid w:val="00382B12"/>
    <w:rsid w:val="0038324B"/>
    <w:rsid w:val="00394C30"/>
    <w:rsid w:val="00397F47"/>
    <w:rsid w:val="003A0486"/>
    <w:rsid w:val="003A171A"/>
    <w:rsid w:val="003A7AA2"/>
    <w:rsid w:val="003B007C"/>
    <w:rsid w:val="003B795C"/>
    <w:rsid w:val="003C2564"/>
    <w:rsid w:val="003D3330"/>
    <w:rsid w:val="003D3536"/>
    <w:rsid w:val="003D474D"/>
    <w:rsid w:val="003E2433"/>
    <w:rsid w:val="003F12E3"/>
    <w:rsid w:val="003F1AD6"/>
    <w:rsid w:val="003F37D8"/>
    <w:rsid w:val="003F7D0A"/>
    <w:rsid w:val="00401648"/>
    <w:rsid w:val="00402E7A"/>
    <w:rsid w:val="00404BCA"/>
    <w:rsid w:val="0041072F"/>
    <w:rsid w:val="00415AF3"/>
    <w:rsid w:val="00421660"/>
    <w:rsid w:val="004233DF"/>
    <w:rsid w:val="00425A6A"/>
    <w:rsid w:val="004271B8"/>
    <w:rsid w:val="00430007"/>
    <w:rsid w:val="0043351A"/>
    <w:rsid w:val="004337EE"/>
    <w:rsid w:val="00435561"/>
    <w:rsid w:val="00436678"/>
    <w:rsid w:val="00441E1A"/>
    <w:rsid w:val="00444B36"/>
    <w:rsid w:val="0044562E"/>
    <w:rsid w:val="00446D7B"/>
    <w:rsid w:val="004472D8"/>
    <w:rsid w:val="00451A00"/>
    <w:rsid w:val="0045229C"/>
    <w:rsid w:val="00454756"/>
    <w:rsid w:val="00454B65"/>
    <w:rsid w:val="00455CE8"/>
    <w:rsid w:val="00455D06"/>
    <w:rsid w:val="00456E3E"/>
    <w:rsid w:val="00461197"/>
    <w:rsid w:val="00462C89"/>
    <w:rsid w:val="00463956"/>
    <w:rsid w:val="00463D19"/>
    <w:rsid w:val="00464F62"/>
    <w:rsid w:val="0047578B"/>
    <w:rsid w:val="00480AD6"/>
    <w:rsid w:val="0048769F"/>
    <w:rsid w:val="00491E25"/>
    <w:rsid w:val="004935E2"/>
    <w:rsid w:val="00496DB8"/>
    <w:rsid w:val="004A2D54"/>
    <w:rsid w:val="004A5A96"/>
    <w:rsid w:val="004A7D6B"/>
    <w:rsid w:val="004B440C"/>
    <w:rsid w:val="004B4C97"/>
    <w:rsid w:val="004C1C52"/>
    <w:rsid w:val="004C43ED"/>
    <w:rsid w:val="004C5FC4"/>
    <w:rsid w:val="004C69CB"/>
    <w:rsid w:val="004D2A3C"/>
    <w:rsid w:val="004E0440"/>
    <w:rsid w:val="004E3160"/>
    <w:rsid w:val="004E4410"/>
    <w:rsid w:val="004E7609"/>
    <w:rsid w:val="004E7A74"/>
    <w:rsid w:val="004F040B"/>
    <w:rsid w:val="004F0A1A"/>
    <w:rsid w:val="004F63EB"/>
    <w:rsid w:val="0050349A"/>
    <w:rsid w:val="00507E45"/>
    <w:rsid w:val="005158E1"/>
    <w:rsid w:val="00532C03"/>
    <w:rsid w:val="00546C1A"/>
    <w:rsid w:val="0054783E"/>
    <w:rsid w:val="005510B0"/>
    <w:rsid w:val="005546B8"/>
    <w:rsid w:val="0055571A"/>
    <w:rsid w:val="00557E64"/>
    <w:rsid w:val="00562EF1"/>
    <w:rsid w:val="00566C52"/>
    <w:rsid w:val="00570BF3"/>
    <w:rsid w:val="005742FA"/>
    <w:rsid w:val="00574B1A"/>
    <w:rsid w:val="00577849"/>
    <w:rsid w:val="00577930"/>
    <w:rsid w:val="00577FE3"/>
    <w:rsid w:val="005810C4"/>
    <w:rsid w:val="0058234B"/>
    <w:rsid w:val="00583B53"/>
    <w:rsid w:val="00586A03"/>
    <w:rsid w:val="00587CD8"/>
    <w:rsid w:val="00590F6E"/>
    <w:rsid w:val="00591F59"/>
    <w:rsid w:val="005A3AB1"/>
    <w:rsid w:val="005B1540"/>
    <w:rsid w:val="005B1B01"/>
    <w:rsid w:val="005B256A"/>
    <w:rsid w:val="005B3964"/>
    <w:rsid w:val="005B4FF1"/>
    <w:rsid w:val="005C1A4C"/>
    <w:rsid w:val="005C2C1D"/>
    <w:rsid w:val="005C3552"/>
    <w:rsid w:val="005C5199"/>
    <w:rsid w:val="005C552A"/>
    <w:rsid w:val="005C5629"/>
    <w:rsid w:val="005C7576"/>
    <w:rsid w:val="005C7A67"/>
    <w:rsid w:val="005D2178"/>
    <w:rsid w:val="005D2B4A"/>
    <w:rsid w:val="005D5E7D"/>
    <w:rsid w:val="005E0C29"/>
    <w:rsid w:val="005E37D8"/>
    <w:rsid w:val="005F24DD"/>
    <w:rsid w:val="005F5295"/>
    <w:rsid w:val="005F696D"/>
    <w:rsid w:val="00603573"/>
    <w:rsid w:val="0061234E"/>
    <w:rsid w:val="0061252A"/>
    <w:rsid w:val="00616BC2"/>
    <w:rsid w:val="00620327"/>
    <w:rsid w:val="00621180"/>
    <w:rsid w:val="00622481"/>
    <w:rsid w:val="006225DC"/>
    <w:rsid w:val="00625027"/>
    <w:rsid w:val="006263E4"/>
    <w:rsid w:val="006301C7"/>
    <w:rsid w:val="00635CC7"/>
    <w:rsid w:val="0064661C"/>
    <w:rsid w:val="006513C4"/>
    <w:rsid w:val="00651AB9"/>
    <w:rsid w:val="00653040"/>
    <w:rsid w:val="00656790"/>
    <w:rsid w:val="00660D46"/>
    <w:rsid w:val="00660DC0"/>
    <w:rsid w:val="006631CF"/>
    <w:rsid w:val="00671352"/>
    <w:rsid w:val="00672395"/>
    <w:rsid w:val="00675A5E"/>
    <w:rsid w:val="00675B0B"/>
    <w:rsid w:val="006777DC"/>
    <w:rsid w:val="006832F4"/>
    <w:rsid w:val="006918A4"/>
    <w:rsid w:val="00691BD6"/>
    <w:rsid w:val="00691F2A"/>
    <w:rsid w:val="0069723C"/>
    <w:rsid w:val="00697FD4"/>
    <w:rsid w:val="006A1846"/>
    <w:rsid w:val="006A5F05"/>
    <w:rsid w:val="006B0531"/>
    <w:rsid w:val="006B7DF7"/>
    <w:rsid w:val="006C2AA7"/>
    <w:rsid w:val="006C4437"/>
    <w:rsid w:val="006C5AD7"/>
    <w:rsid w:val="006D03A0"/>
    <w:rsid w:val="006D4D3F"/>
    <w:rsid w:val="006D730A"/>
    <w:rsid w:val="006E3D9D"/>
    <w:rsid w:val="006E6B89"/>
    <w:rsid w:val="006F1BDD"/>
    <w:rsid w:val="006F5727"/>
    <w:rsid w:val="006F62CE"/>
    <w:rsid w:val="0070261E"/>
    <w:rsid w:val="00702828"/>
    <w:rsid w:val="00706435"/>
    <w:rsid w:val="00707646"/>
    <w:rsid w:val="00712C27"/>
    <w:rsid w:val="0072049F"/>
    <w:rsid w:val="00722320"/>
    <w:rsid w:val="00734E7E"/>
    <w:rsid w:val="00737BF7"/>
    <w:rsid w:val="0074035A"/>
    <w:rsid w:val="00741DFB"/>
    <w:rsid w:val="00746FC2"/>
    <w:rsid w:val="00753EC8"/>
    <w:rsid w:val="00754AE7"/>
    <w:rsid w:val="00754F2E"/>
    <w:rsid w:val="0075728F"/>
    <w:rsid w:val="0075743C"/>
    <w:rsid w:val="0077353F"/>
    <w:rsid w:val="007813D7"/>
    <w:rsid w:val="007852D9"/>
    <w:rsid w:val="007911E6"/>
    <w:rsid w:val="00792FF0"/>
    <w:rsid w:val="007932C2"/>
    <w:rsid w:val="007942EB"/>
    <w:rsid w:val="0079485D"/>
    <w:rsid w:val="00796C5C"/>
    <w:rsid w:val="007A641E"/>
    <w:rsid w:val="007B5C3B"/>
    <w:rsid w:val="007B7103"/>
    <w:rsid w:val="007C1776"/>
    <w:rsid w:val="007C5D3C"/>
    <w:rsid w:val="007C72C9"/>
    <w:rsid w:val="007D220E"/>
    <w:rsid w:val="007D2A4A"/>
    <w:rsid w:val="007D301E"/>
    <w:rsid w:val="007D4DC4"/>
    <w:rsid w:val="007D595B"/>
    <w:rsid w:val="007D59E8"/>
    <w:rsid w:val="007D6D01"/>
    <w:rsid w:val="007D6F99"/>
    <w:rsid w:val="007E046C"/>
    <w:rsid w:val="007F0935"/>
    <w:rsid w:val="007F5AAB"/>
    <w:rsid w:val="007F65B2"/>
    <w:rsid w:val="008002D9"/>
    <w:rsid w:val="0080201B"/>
    <w:rsid w:val="00802FBD"/>
    <w:rsid w:val="00811D37"/>
    <w:rsid w:val="008140A0"/>
    <w:rsid w:val="00814135"/>
    <w:rsid w:val="0081438E"/>
    <w:rsid w:val="00815505"/>
    <w:rsid w:val="00820839"/>
    <w:rsid w:val="00825652"/>
    <w:rsid w:val="0083144D"/>
    <w:rsid w:val="00833606"/>
    <w:rsid w:val="00841624"/>
    <w:rsid w:val="0084346E"/>
    <w:rsid w:val="00844B7E"/>
    <w:rsid w:val="00846B22"/>
    <w:rsid w:val="00847261"/>
    <w:rsid w:val="00847C2F"/>
    <w:rsid w:val="00850D95"/>
    <w:rsid w:val="008516E0"/>
    <w:rsid w:val="00857376"/>
    <w:rsid w:val="00861282"/>
    <w:rsid w:val="008623FF"/>
    <w:rsid w:val="008713A2"/>
    <w:rsid w:val="00873003"/>
    <w:rsid w:val="00873E8B"/>
    <w:rsid w:val="0087465E"/>
    <w:rsid w:val="00875E47"/>
    <w:rsid w:val="008817C5"/>
    <w:rsid w:val="00882E99"/>
    <w:rsid w:val="00883748"/>
    <w:rsid w:val="00883D1C"/>
    <w:rsid w:val="008847DC"/>
    <w:rsid w:val="008920C7"/>
    <w:rsid w:val="00892D5A"/>
    <w:rsid w:val="0089304B"/>
    <w:rsid w:val="008A1408"/>
    <w:rsid w:val="008A16FD"/>
    <w:rsid w:val="008A1F96"/>
    <w:rsid w:val="008A5C77"/>
    <w:rsid w:val="008A6B48"/>
    <w:rsid w:val="008B2094"/>
    <w:rsid w:val="008B387F"/>
    <w:rsid w:val="008B7FE8"/>
    <w:rsid w:val="008C03E3"/>
    <w:rsid w:val="008C0E90"/>
    <w:rsid w:val="008C2EA9"/>
    <w:rsid w:val="008C5AD3"/>
    <w:rsid w:val="008C7EDE"/>
    <w:rsid w:val="008D1527"/>
    <w:rsid w:val="008D1D39"/>
    <w:rsid w:val="008E16BB"/>
    <w:rsid w:val="008E3C08"/>
    <w:rsid w:val="008F1DC6"/>
    <w:rsid w:val="008F230D"/>
    <w:rsid w:val="008F776D"/>
    <w:rsid w:val="00910E68"/>
    <w:rsid w:val="009136F2"/>
    <w:rsid w:val="0091584B"/>
    <w:rsid w:val="0092009B"/>
    <w:rsid w:val="0092196B"/>
    <w:rsid w:val="00922172"/>
    <w:rsid w:val="00923DA3"/>
    <w:rsid w:val="009251A4"/>
    <w:rsid w:val="00932152"/>
    <w:rsid w:val="00932BC6"/>
    <w:rsid w:val="009378AD"/>
    <w:rsid w:val="00943681"/>
    <w:rsid w:val="00944F62"/>
    <w:rsid w:val="009467CB"/>
    <w:rsid w:val="009472B3"/>
    <w:rsid w:val="00947436"/>
    <w:rsid w:val="009516F0"/>
    <w:rsid w:val="0095290A"/>
    <w:rsid w:val="009529C2"/>
    <w:rsid w:val="00953DF7"/>
    <w:rsid w:val="00957ECF"/>
    <w:rsid w:val="009603EE"/>
    <w:rsid w:val="00960453"/>
    <w:rsid w:val="009609B5"/>
    <w:rsid w:val="00961853"/>
    <w:rsid w:val="00961DA8"/>
    <w:rsid w:val="0097142A"/>
    <w:rsid w:val="0097342D"/>
    <w:rsid w:val="009800E6"/>
    <w:rsid w:val="00981A4A"/>
    <w:rsid w:val="009820ED"/>
    <w:rsid w:val="00982654"/>
    <w:rsid w:val="00984B6E"/>
    <w:rsid w:val="0098538B"/>
    <w:rsid w:val="00991563"/>
    <w:rsid w:val="00993903"/>
    <w:rsid w:val="009A4028"/>
    <w:rsid w:val="009A47B8"/>
    <w:rsid w:val="009A6BC5"/>
    <w:rsid w:val="009A6BD6"/>
    <w:rsid w:val="009A7E35"/>
    <w:rsid w:val="009B0AF5"/>
    <w:rsid w:val="009B51C7"/>
    <w:rsid w:val="009B5753"/>
    <w:rsid w:val="009C0F3B"/>
    <w:rsid w:val="009C1514"/>
    <w:rsid w:val="009C42FC"/>
    <w:rsid w:val="009C547E"/>
    <w:rsid w:val="009C709E"/>
    <w:rsid w:val="009D7086"/>
    <w:rsid w:val="009E0B00"/>
    <w:rsid w:val="009E360E"/>
    <w:rsid w:val="009E4E22"/>
    <w:rsid w:val="009E77AB"/>
    <w:rsid w:val="009F1310"/>
    <w:rsid w:val="009F1B04"/>
    <w:rsid w:val="00A00220"/>
    <w:rsid w:val="00A011F4"/>
    <w:rsid w:val="00A01A54"/>
    <w:rsid w:val="00A10B8A"/>
    <w:rsid w:val="00A12FAB"/>
    <w:rsid w:val="00A162DF"/>
    <w:rsid w:val="00A17EDD"/>
    <w:rsid w:val="00A21B08"/>
    <w:rsid w:val="00A30CD1"/>
    <w:rsid w:val="00A33BF1"/>
    <w:rsid w:val="00A358B7"/>
    <w:rsid w:val="00A37ABC"/>
    <w:rsid w:val="00A431BD"/>
    <w:rsid w:val="00A448B0"/>
    <w:rsid w:val="00A4696B"/>
    <w:rsid w:val="00A53841"/>
    <w:rsid w:val="00A617D3"/>
    <w:rsid w:val="00A62040"/>
    <w:rsid w:val="00A65C3F"/>
    <w:rsid w:val="00A73DEA"/>
    <w:rsid w:val="00A80CD7"/>
    <w:rsid w:val="00A828ED"/>
    <w:rsid w:val="00A902FD"/>
    <w:rsid w:val="00AA052F"/>
    <w:rsid w:val="00AA0A57"/>
    <w:rsid w:val="00AA1C49"/>
    <w:rsid w:val="00AA2A7C"/>
    <w:rsid w:val="00AA4D04"/>
    <w:rsid w:val="00AB15EC"/>
    <w:rsid w:val="00AB1784"/>
    <w:rsid w:val="00AB1EB7"/>
    <w:rsid w:val="00AB5D65"/>
    <w:rsid w:val="00AB6BF9"/>
    <w:rsid w:val="00AC7B82"/>
    <w:rsid w:val="00AD26D8"/>
    <w:rsid w:val="00AD6BBB"/>
    <w:rsid w:val="00AD6C3C"/>
    <w:rsid w:val="00AE11E2"/>
    <w:rsid w:val="00AE2693"/>
    <w:rsid w:val="00AE4F79"/>
    <w:rsid w:val="00AF31D8"/>
    <w:rsid w:val="00AF3B8F"/>
    <w:rsid w:val="00B00422"/>
    <w:rsid w:val="00B0260C"/>
    <w:rsid w:val="00B02E7D"/>
    <w:rsid w:val="00B065CE"/>
    <w:rsid w:val="00B14C6D"/>
    <w:rsid w:val="00B20D43"/>
    <w:rsid w:val="00B272EE"/>
    <w:rsid w:val="00B32731"/>
    <w:rsid w:val="00B3464B"/>
    <w:rsid w:val="00B351F7"/>
    <w:rsid w:val="00B377F7"/>
    <w:rsid w:val="00B37FCE"/>
    <w:rsid w:val="00B41324"/>
    <w:rsid w:val="00B438EC"/>
    <w:rsid w:val="00B44F98"/>
    <w:rsid w:val="00B532F8"/>
    <w:rsid w:val="00B5609B"/>
    <w:rsid w:val="00B60BD9"/>
    <w:rsid w:val="00B656FC"/>
    <w:rsid w:val="00B66156"/>
    <w:rsid w:val="00B733C9"/>
    <w:rsid w:val="00B82D2C"/>
    <w:rsid w:val="00B83D27"/>
    <w:rsid w:val="00B976C4"/>
    <w:rsid w:val="00BA1313"/>
    <w:rsid w:val="00BB1FED"/>
    <w:rsid w:val="00BB4214"/>
    <w:rsid w:val="00BB4914"/>
    <w:rsid w:val="00BB7D45"/>
    <w:rsid w:val="00BC5ECA"/>
    <w:rsid w:val="00BC6EB3"/>
    <w:rsid w:val="00BC7E8A"/>
    <w:rsid w:val="00BD3144"/>
    <w:rsid w:val="00BD4065"/>
    <w:rsid w:val="00BD53D3"/>
    <w:rsid w:val="00BF2CB5"/>
    <w:rsid w:val="00BF523A"/>
    <w:rsid w:val="00C01FD7"/>
    <w:rsid w:val="00C04CCA"/>
    <w:rsid w:val="00C05785"/>
    <w:rsid w:val="00C10061"/>
    <w:rsid w:val="00C21B59"/>
    <w:rsid w:val="00C23816"/>
    <w:rsid w:val="00C251E5"/>
    <w:rsid w:val="00C2550C"/>
    <w:rsid w:val="00C3141A"/>
    <w:rsid w:val="00C320C4"/>
    <w:rsid w:val="00C330BC"/>
    <w:rsid w:val="00C33311"/>
    <w:rsid w:val="00C35944"/>
    <w:rsid w:val="00C36203"/>
    <w:rsid w:val="00C37B16"/>
    <w:rsid w:val="00C37ED8"/>
    <w:rsid w:val="00C409A7"/>
    <w:rsid w:val="00C409CF"/>
    <w:rsid w:val="00C457BF"/>
    <w:rsid w:val="00C47D75"/>
    <w:rsid w:val="00C53D9A"/>
    <w:rsid w:val="00C555B5"/>
    <w:rsid w:val="00C602EE"/>
    <w:rsid w:val="00C60BF7"/>
    <w:rsid w:val="00C86D25"/>
    <w:rsid w:val="00C87420"/>
    <w:rsid w:val="00C87DB2"/>
    <w:rsid w:val="00C900E9"/>
    <w:rsid w:val="00C923DD"/>
    <w:rsid w:val="00C9571F"/>
    <w:rsid w:val="00C96AEF"/>
    <w:rsid w:val="00C97250"/>
    <w:rsid w:val="00CA552C"/>
    <w:rsid w:val="00CA5756"/>
    <w:rsid w:val="00CA60EE"/>
    <w:rsid w:val="00CA6BA1"/>
    <w:rsid w:val="00CA72C4"/>
    <w:rsid w:val="00CB12A3"/>
    <w:rsid w:val="00CB1E04"/>
    <w:rsid w:val="00CB33AD"/>
    <w:rsid w:val="00CB3E45"/>
    <w:rsid w:val="00CB7911"/>
    <w:rsid w:val="00CC7067"/>
    <w:rsid w:val="00CC776F"/>
    <w:rsid w:val="00CD423C"/>
    <w:rsid w:val="00CD5411"/>
    <w:rsid w:val="00CD79A1"/>
    <w:rsid w:val="00CE0737"/>
    <w:rsid w:val="00CE73EA"/>
    <w:rsid w:val="00CF0B67"/>
    <w:rsid w:val="00CF4725"/>
    <w:rsid w:val="00CF4E94"/>
    <w:rsid w:val="00CF67D4"/>
    <w:rsid w:val="00D063DC"/>
    <w:rsid w:val="00D11893"/>
    <w:rsid w:val="00D148B7"/>
    <w:rsid w:val="00D14C5E"/>
    <w:rsid w:val="00D17C42"/>
    <w:rsid w:val="00D20DBA"/>
    <w:rsid w:val="00D22B75"/>
    <w:rsid w:val="00D22C08"/>
    <w:rsid w:val="00D303B8"/>
    <w:rsid w:val="00D30516"/>
    <w:rsid w:val="00D312F2"/>
    <w:rsid w:val="00D33C27"/>
    <w:rsid w:val="00D35BD7"/>
    <w:rsid w:val="00D36A53"/>
    <w:rsid w:val="00D36B8F"/>
    <w:rsid w:val="00D41C08"/>
    <w:rsid w:val="00D46777"/>
    <w:rsid w:val="00D476F0"/>
    <w:rsid w:val="00D601EA"/>
    <w:rsid w:val="00D61CDD"/>
    <w:rsid w:val="00D62E58"/>
    <w:rsid w:val="00D65EDC"/>
    <w:rsid w:val="00D660FB"/>
    <w:rsid w:val="00D70FE4"/>
    <w:rsid w:val="00D71F93"/>
    <w:rsid w:val="00D728B4"/>
    <w:rsid w:val="00D83B3F"/>
    <w:rsid w:val="00D854BD"/>
    <w:rsid w:val="00D91358"/>
    <w:rsid w:val="00D9339B"/>
    <w:rsid w:val="00DA00B3"/>
    <w:rsid w:val="00DA1904"/>
    <w:rsid w:val="00DA69EB"/>
    <w:rsid w:val="00DB1E0D"/>
    <w:rsid w:val="00DB338F"/>
    <w:rsid w:val="00DB3C3F"/>
    <w:rsid w:val="00DB609B"/>
    <w:rsid w:val="00DB639F"/>
    <w:rsid w:val="00DC195E"/>
    <w:rsid w:val="00DC1CD8"/>
    <w:rsid w:val="00DC2A09"/>
    <w:rsid w:val="00DC6BCE"/>
    <w:rsid w:val="00DC6DED"/>
    <w:rsid w:val="00DC724D"/>
    <w:rsid w:val="00DC7E21"/>
    <w:rsid w:val="00DD119D"/>
    <w:rsid w:val="00DD1F46"/>
    <w:rsid w:val="00DD566D"/>
    <w:rsid w:val="00DE107E"/>
    <w:rsid w:val="00DE38BF"/>
    <w:rsid w:val="00DE5331"/>
    <w:rsid w:val="00DE59E9"/>
    <w:rsid w:val="00DF067E"/>
    <w:rsid w:val="00E052C3"/>
    <w:rsid w:val="00E106C0"/>
    <w:rsid w:val="00E11247"/>
    <w:rsid w:val="00E1369C"/>
    <w:rsid w:val="00E154B2"/>
    <w:rsid w:val="00E243FD"/>
    <w:rsid w:val="00E26E87"/>
    <w:rsid w:val="00E2769A"/>
    <w:rsid w:val="00E31F47"/>
    <w:rsid w:val="00E31F6E"/>
    <w:rsid w:val="00E33234"/>
    <w:rsid w:val="00E33905"/>
    <w:rsid w:val="00E36F4A"/>
    <w:rsid w:val="00E52EDB"/>
    <w:rsid w:val="00E55F75"/>
    <w:rsid w:val="00E56164"/>
    <w:rsid w:val="00E66643"/>
    <w:rsid w:val="00E672FB"/>
    <w:rsid w:val="00E67B60"/>
    <w:rsid w:val="00E84A05"/>
    <w:rsid w:val="00E84A71"/>
    <w:rsid w:val="00E85008"/>
    <w:rsid w:val="00E92C11"/>
    <w:rsid w:val="00E93DD1"/>
    <w:rsid w:val="00E941BA"/>
    <w:rsid w:val="00E96889"/>
    <w:rsid w:val="00EA0330"/>
    <w:rsid w:val="00EA1521"/>
    <w:rsid w:val="00EA15C3"/>
    <w:rsid w:val="00EA3914"/>
    <w:rsid w:val="00EA39D7"/>
    <w:rsid w:val="00EA5363"/>
    <w:rsid w:val="00EB257D"/>
    <w:rsid w:val="00EB4A19"/>
    <w:rsid w:val="00EC3184"/>
    <w:rsid w:val="00EC491A"/>
    <w:rsid w:val="00EC7E8B"/>
    <w:rsid w:val="00ED2D26"/>
    <w:rsid w:val="00ED610C"/>
    <w:rsid w:val="00ED64D0"/>
    <w:rsid w:val="00EE343A"/>
    <w:rsid w:val="00EE7667"/>
    <w:rsid w:val="00EF1B5D"/>
    <w:rsid w:val="00EF3888"/>
    <w:rsid w:val="00F101DA"/>
    <w:rsid w:val="00F113CF"/>
    <w:rsid w:val="00F115C2"/>
    <w:rsid w:val="00F11D75"/>
    <w:rsid w:val="00F205C0"/>
    <w:rsid w:val="00F20B93"/>
    <w:rsid w:val="00F220AC"/>
    <w:rsid w:val="00F32E7F"/>
    <w:rsid w:val="00F33714"/>
    <w:rsid w:val="00F35096"/>
    <w:rsid w:val="00F36189"/>
    <w:rsid w:val="00F36A60"/>
    <w:rsid w:val="00F37595"/>
    <w:rsid w:val="00F403F1"/>
    <w:rsid w:val="00F4129D"/>
    <w:rsid w:val="00F41DBA"/>
    <w:rsid w:val="00F45D84"/>
    <w:rsid w:val="00F6437C"/>
    <w:rsid w:val="00F66E5B"/>
    <w:rsid w:val="00F707C6"/>
    <w:rsid w:val="00F70C01"/>
    <w:rsid w:val="00F75C3B"/>
    <w:rsid w:val="00F777A4"/>
    <w:rsid w:val="00F83885"/>
    <w:rsid w:val="00F94E03"/>
    <w:rsid w:val="00F97F72"/>
    <w:rsid w:val="00FA48C6"/>
    <w:rsid w:val="00FA7208"/>
    <w:rsid w:val="00FB0CA4"/>
    <w:rsid w:val="00FB0CD8"/>
    <w:rsid w:val="00FB5022"/>
    <w:rsid w:val="00FB673D"/>
    <w:rsid w:val="00FC4BC3"/>
    <w:rsid w:val="00FC631B"/>
    <w:rsid w:val="00FC720D"/>
    <w:rsid w:val="00FC7C26"/>
    <w:rsid w:val="00FD01E0"/>
    <w:rsid w:val="00FD570C"/>
    <w:rsid w:val="00FD6DCF"/>
    <w:rsid w:val="00FE232B"/>
    <w:rsid w:val="00FE2B17"/>
    <w:rsid w:val="00FF1AF9"/>
    <w:rsid w:val="00FF281D"/>
    <w:rsid w:val="00FF31B9"/>
    <w:rsid w:val="00FF3E69"/>
    <w:rsid w:val="5FBB1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活力">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Pages>
  <Words>2190</Words>
  <Characters>2231</Characters>
  <Lines>16</Lines>
  <Paragraphs>4</Paragraphs>
  <TotalTime>3</TotalTime>
  <ScaleCrop>false</ScaleCrop>
  <LinksUpToDate>false</LinksUpToDate>
  <CharactersWithSpaces>2239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2022-11-11T06:47:00Z</dcterms:created>
  <dc:creator>China</dc:creator>
  <cp:lastModifiedBy>admin</cp:lastModifiedBy>
  <cp:lastPrinted>2022-11-11T07:01:00Z</cp:lastPrinted>
  <dcterms:modified xsi:type="dcterms:W3CDTF">2022-11-14T00:33:56Z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05D6B617B1DA4502A5AF5F787FEAB32A</vt:lpwstr>
  </property>
</Properties>
</file>