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top"/>
        <w:outlineLvl w:val="1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28"/>
          <w:szCs w:val="28"/>
          <w:shd w:val="clear" w:fill="FFFFFF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top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9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90"/>
          <w:sz w:val="44"/>
          <w:szCs w:val="44"/>
          <w:shd w:val="clear" w:fill="FFFFFF"/>
        </w:rPr>
        <w:t>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先进制造业“四梁八柱”企业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确认和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政策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措施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通知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（征求意见稿）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rPr>
          <w:color w:val="333333"/>
          <w:spacing w:val="0"/>
          <w:sz w:val="24"/>
          <w:szCs w:val="24"/>
          <w:u w:val="none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为深入贯彻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市委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次全会暨经济工作会议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推动重点企业加快壮大、形成集群，着力打造先进制造业“四梁八柱”，加速形成新质生产力，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推进新型工业化，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建成引领豫北地区、联动京津冀、支撑中原城市群高质量发展的区域先进制造业中心。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根据国家和省、市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优质企业培育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的有关要求，结合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实际，制定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政策措施：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Style w:val="12"/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u w:val="none"/>
        </w:rPr>
        <w:t>一、确认条件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在安阳市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依法注册独立核算的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制造业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企业，建立现代企业经营管理制度。近3年无不良信用记录，未发生重大安全、环保、质量事故。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处于产业链供应链核心优势地位，对于优化资源配置、技术产品创新和产业生态构建有重大影响力的企业，有能力且有意愿对增强我市产业链供应链稳定性和竞争力、健全和壮大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先进制造业群链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发挥重要作用的企业。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凡具备下列条件之一的，可确认为“四梁八柱”企业。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1.规模效益好。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主导产业和优势传统产业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“四梁八柱”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上一年度主营业务收入，原则上不低于1亿元，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纳税总额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000万元以上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；战略新兴产业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“四梁八柱”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上一年度主营业务收入，原则上不低于5000万元，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纳税总额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00万元以上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已上市企业或已列入省定重点上市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后备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企业，同等条件优先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认定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Style w:val="1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Style w:val="15"/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  <w:t>2.发展潜力大。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主导产品符合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安阳制造业换道领跑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方向，是国家或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知名产品、品牌，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主导产品占较高市场份额，主导产品在国内市场占有率排名前10或在省内市场占有率排名前5，近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3年主营业务收入年均增长幅度10%以上。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 xml:space="preserve">    3.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带动能力强。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先进制造业群链中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拥有市内产业链上下游协作配套企业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，能够构筑产业链条长、综合竞争力强的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“链主”企业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优先考虑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获得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河南省头雁企业、国家级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制造业单项冠军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企业、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国家级专精特新“小巨人”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河南省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制造业单项冠军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企业、河南省“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专精特新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”中小企业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等称号的企业优先考虑。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 xml:space="preserve">    4.产业创新优。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掌握产业链关键技术或具有核心基础产品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至少拥有1个省级及以上认定的创新研发平台，如技术创新中心、重点实验室、新型研发机构、企业技术中心、制造业创新中心、工程（技术）研究中心等。包括但不限于获得国家级和省级科学技术奖励、专利奖项等创新成果。拥有国家级、省级高层次领军人才、团队的优先考虑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  <w:t>二、确认程序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</w:rPr>
        <w:t>（一）评定确认：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市统计局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会同税务部门提供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贡献数据，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市工信和信息化局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汇总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筛选，提出建议确认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名单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在征求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市发展改革委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、</w:t>
      </w:r>
      <w:r>
        <w:rPr>
          <w:rFonts w:hint="eastAsia" w:ascii="仿宋_GB2312" w:hAnsi="微软雅黑" w:eastAsia="仿宋_GB2312"/>
          <w:sz w:val="32"/>
          <w:szCs w:val="32"/>
        </w:rPr>
        <w:t>市科技局、市商务局、市统计局、市发展改革委、市财政局、市人力资源社会保障局、市生态环境局、市应急管理局、市税务局、市市场监管局，市总工会、市工商联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等单位意见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的基础上，提出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“四梁八柱”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名单，经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市委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</w:rPr>
        <w:t>政府研究确认，行文公布，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颁发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命名证书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</w:rPr>
        <w:t>（二）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u w:val="none"/>
          <w:lang w:eastAsia="zh-CN"/>
        </w:rPr>
        <w:t>动态更新。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先进制造业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“四梁八柱”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筛选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工作原则上每年开展一次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依据年度结果对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“四梁八柱”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进行动态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更新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“四梁八柱”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企业培育库，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对新确认和不符合条件的企业出入库进行公示。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重点招商引进的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域外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行业龙头企业、在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推动制造业高质量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发展上作出重大贡献的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内企业，经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市委、市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政府同意，可优先确定为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“四梁八柱”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企业。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Style w:val="12"/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u w:val="none"/>
        </w:rPr>
        <w:t>三、</w:t>
      </w:r>
      <w:r>
        <w:rPr>
          <w:rStyle w:val="12"/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u w:val="none"/>
          <w:lang w:eastAsia="zh-CN"/>
        </w:rPr>
        <w:t>支持</w:t>
      </w:r>
      <w:r>
        <w:rPr>
          <w:rStyle w:val="12"/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u w:val="none"/>
        </w:rPr>
        <w:t>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.将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安阳市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先进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制造业“四梁八柱”企业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列入“万人助万企”重点服务对象，分别确定一名市级领导干部联系服务，深入企业指导工作，及时协调企业与职能部门各种关系，帮助企业协调解决发展中遇到的土地、资金、技术、服务环境等各种难点问题，确保企业持续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符合相关条件的，优先享受国家、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有关扶持政策。同等条件下，享受以下几个优先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优先保障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用能、用电、用水等需求；优先支持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按照有关部门要求申报国家和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专项资金、各类奖补政策；优先支持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申报河南省头雁企业、国家级单项冠军、专精特新“小巨人”企业；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优先支持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建设企业技术中心、工程（技术）研究中心等创新平台，优先申报绿色制造、创新型、技术创新等技术创新示范企业；优先向银行、担保、基金等机构推荐，争取信贷、担保基金、引导基金等金融支持。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煤电油气运保障“直通车”制度，及时掌握市场、价格、原材料、出口、资金等动态信息，加强运行监测和跟踪服务，帮助企业解决生产经营中的困难和问题。强化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项目用地、用工保障，对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申报的技术改造、科技创新、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数智赋能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绿色低碳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等项目给予优先安排。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4.定期举办或组织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经营管理者、优秀企业家参加各种高层次培训班、知识讲座和外出参观学习、考察市场等活动。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充分利用新闻媒体、网络平台宣讲解读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扶持政策，定期召开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座谈会，做好政策实施情况评估，及时完善、优化，确保政策惠企到位。认真总结推广推动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发展的好做法、好经验、好典型，营造全社会关心支持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发展的良好氛围。同时，充分利用新闻媒体加大对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产品品牌的宣传力度，着力提升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“四梁八柱”企业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产品品牌影响力。</w:t>
      </w:r>
    </w:p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41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E155B"/>
    <w:rsid w:val="00D0580B"/>
    <w:rsid w:val="043E142B"/>
    <w:rsid w:val="0D623D95"/>
    <w:rsid w:val="0E400B2E"/>
    <w:rsid w:val="10815BD0"/>
    <w:rsid w:val="154404F4"/>
    <w:rsid w:val="1FDC2AB7"/>
    <w:rsid w:val="20E762F9"/>
    <w:rsid w:val="25A00CF3"/>
    <w:rsid w:val="2725134D"/>
    <w:rsid w:val="279858DB"/>
    <w:rsid w:val="28C20D5D"/>
    <w:rsid w:val="31FD4623"/>
    <w:rsid w:val="33721882"/>
    <w:rsid w:val="351C31F3"/>
    <w:rsid w:val="369E12C8"/>
    <w:rsid w:val="37643892"/>
    <w:rsid w:val="39587AA0"/>
    <w:rsid w:val="3A5E20B2"/>
    <w:rsid w:val="3ECF0710"/>
    <w:rsid w:val="4296777F"/>
    <w:rsid w:val="46B25D0E"/>
    <w:rsid w:val="4C1C63B5"/>
    <w:rsid w:val="50A96A4A"/>
    <w:rsid w:val="5AB2473F"/>
    <w:rsid w:val="5D7F1C30"/>
    <w:rsid w:val="5F9E155B"/>
    <w:rsid w:val="632E0146"/>
    <w:rsid w:val="64FA0C98"/>
    <w:rsid w:val="65707DB4"/>
    <w:rsid w:val="755F3DF3"/>
    <w:rsid w:val="7E0C3E53"/>
    <w:rsid w:val="7EFF749B"/>
    <w:rsid w:val="7FF4E03F"/>
    <w:rsid w:val="F3B74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eastAsia="仿宋_GB2312" w:cs="宋体" w:asciiTheme="minorHAnsi" w:hAnsiTheme="minorHAns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index 5"/>
    <w:basedOn w:val="1"/>
    <w:next w:val="1"/>
    <w:qFormat/>
    <w:uiPriority w:val="0"/>
    <w:pPr>
      <w:spacing w:line="400" w:lineRule="exact"/>
      <w:ind w:left="1680"/>
    </w:pPr>
    <w:rPr>
      <w:rFonts w:ascii="Calibri" w:hAnsi="Calibri" w:eastAsia="Times New Roman" w:cs="Times New Roman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qFormat/>
    <w:uiPriority w:val="0"/>
    <w:rPr>
      <w:i/>
      <w:iCs/>
    </w:rPr>
  </w:style>
  <w:style w:type="paragraph" w:customStyle="1" w:styleId="14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character" w:customStyle="1" w:styleId="1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2024-05-08T11:33:00Z</dcterms:created>
  <dc:creator>Administrator</dc:creator>
  <cp:lastModifiedBy>admin</cp:lastModifiedBy>
  <cp:lastPrinted>2024-05-16T17:27:00Z</cp:lastPrinted>
  <dcterms:modified xsi:type="dcterms:W3CDTF">2024-05-16T18:10:29Z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