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640" w:lineRule="exact"/>
        <w:jc w:val="center"/>
        <w:rPr>
          <w:b/>
          <w:bCs/>
          <w:sz w:val="56"/>
          <w:szCs w:val="56"/>
        </w:rPr>
      </w:pPr>
      <w:bookmarkStart w:id="13" w:name="_GoBack"/>
      <w:bookmarkEnd w:id="13"/>
      <w:bookmarkStart w:id="0" w:name="_Toc28755"/>
    </w:p>
    <w:p>
      <w:pPr>
        <w:pStyle w:val="9"/>
        <w:spacing w:line="640" w:lineRule="exact"/>
        <w:jc w:val="center"/>
        <w:rPr>
          <w:rFonts w:hint="eastAsia" w:ascii="黑体" w:hAnsi="黑体" w:eastAsia="黑体" w:cs="黑体"/>
          <w:b/>
          <w:bCs/>
          <w:sz w:val="44"/>
          <w:szCs w:val="44"/>
        </w:rPr>
      </w:pPr>
      <w:r>
        <w:rPr>
          <w:rFonts w:hint="eastAsia" w:ascii="黑体" w:hAnsi="黑体" w:eastAsia="黑体" w:cs="黑体"/>
          <w:b/>
          <w:bCs/>
          <w:sz w:val="44"/>
          <w:szCs w:val="44"/>
        </w:rPr>
        <w:t>安阳市市域社会治理促进条例</w:t>
      </w:r>
      <w:bookmarkEnd w:id="0"/>
    </w:p>
    <w:p>
      <w:pPr>
        <w:pStyle w:val="9"/>
        <w:spacing w:line="6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pStyle w:val="10"/>
        <w:spacing w:line="640" w:lineRule="exact"/>
        <w:jc w:val="center"/>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目</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录</w:t>
      </w:r>
    </w:p>
    <w:p>
      <w:pPr>
        <w:rPr>
          <w:rFonts w:hint="eastAsia" w:ascii="黑体" w:hAnsi="黑体" w:eastAsia="黑体" w:cs="黑体"/>
          <w:b w:val="0"/>
          <w:bCs w:val="0"/>
          <w:color w:val="000000" w:themeColor="text1"/>
          <w:sz w:val="32"/>
          <w:szCs w:val="32"/>
          <w:lang w:eastAsia="zh-CN"/>
          <w14:textFill>
            <w14:solidFill>
              <w14:schemeClr w14:val="tx1"/>
            </w14:solidFill>
          </w14:textFill>
        </w:rPr>
      </w:pPr>
    </w:p>
    <w:p>
      <w:pPr>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第一章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总  则</w:t>
      </w:r>
    </w:p>
    <w:p>
      <w:pPr>
        <w:rPr>
          <w:rFonts w:hint="eastAsia" w:ascii="黑体" w:hAnsi="黑体" w:eastAsia="黑体" w:cs="黑体"/>
          <w:sz w:val="32"/>
          <w:szCs w:val="32"/>
          <w:lang w:val="en-US" w:eastAsia="zh-CN"/>
        </w:rPr>
      </w:pPr>
      <w:r>
        <w:rPr>
          <w:rFonts w:hint="eastAsia" w:ascii="黑体" w:hAnsi="黑体" w:eastAsia="黑体" w:cs="黑体"/>
          <w:sz w:val="32"/>
          <w:szCs w:val="32"/>
          <w:lang w:val="en" w:eastAsia="zh-CN"/>
        </w:rPr>
        <w:t>第二章</w:t>
      </w:r>
      <w:r>
        <w:rPr>
          <w:rFonts w:hint="eastAsia" w:ascii="黑体" w:hAnsi="黑体" w:eastAsia="黑体" w:cs="黑体"/>
          <w:sz w:val="32"/>
          <w:szCs w:val="32"/>
          <w:lang w:val="en-US" w:eastAsia="zh-CN"/>
        </w:rPr>
        <w:t xml:space="preserve">  社会治理</w:t>
      </w:r>
    </w:p>
    <w:p>
      <w:p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第一节 政治安全维护</w:t>
      </w:r>
    </w:p>
    <w:p>
      <w:p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第二节 社会治安防控</w:t>
      </w:r>
    </w:p>
    <w:p>
      <w:p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第三节 矛盾纠纷化解</w:t>
      </w:r>
    </w:p>
    <w:p>
      <w:pPr>
        <w:numPr>
          <w:ilvl w:val="0"/>
          <w:numId w:val="1"/>
        </w:num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公共安全维护</w:t>
      </w:r>
    </w:p>
    <w:p>
      <w:pPr>
        <w:numPr>
          <w:ilvl w:val="0"/>
          <w:numId w:val="1"/>
        </w:num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网络安全建设</w:t>
      </w:r>
    </w:p>
    <w:p>
      <w:pPr>
        <w:numPr>
          <w:ilvl w:val="0"/>
          <w:numId w:val="1"/>
        </w:num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基层社会治理</w:t>
      </w:r>
    </w:p>
    <w:p>
      <w:pPr>
        <w:numPr>
          <w:ilvl w:val="0"/>
          <w:numId w:val="2"/>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促进措施</w:t>
      </w:r>
    </w:p>
    <w:p>
      <w:pPr>
        <w:numPr>
          <w:ilvl w:val="0"/>
          <w:numId w:val="2"/>
        </w:num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监管与法律责任</w:t>
      </w:r>
    </w:p>
    <w:p>
      <w:pPr>
        <w:numPr>
          <w:ilvl w:val="0"/>
          <w:numId w:val="2"/>
        </w:num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则</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sectPr>
          <w:pgSz w:w="11906" w:h="16838"/>
          <w:pgMar w:top="1440" w:right="1800" w:bottom="1440" w:left="1800" w:header="851" w:footer="992" w:gutter="0"/>
          <w:pgNumType w:start="0"/>
          <w:cols w:space="425" w:num="1"/>
          <w:docGrid w:type="lines" w:linePitch="312" w:charSpace="0"/>
        </w:sectPr>
      </w:pPr>
    </w:p>
    <w:p>
      <w:pPr>
        <w:pStyle w:val="2"/>
        <w:spacing w:line="640" w:lineRule="exact"/>
        <w:jc w:val="center"/>
      </w:pPr>
      <w:bookmarkStart w:id="1" w:name="_Toc26391"/>
      <w:r>
        <w:rPr>
          <w:rFonts w:hint="eastAsia"/>
        </w:rPr>
        <w:t>第一章 总  则</w:t>
      </w:r>
      <w:bookmarkEnd w:id="1"/>
    </w:p>
    <w:p>
      <w:pPr>
        <w:pStyle w:val="6"/>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为促进市域社会治理工作，防范化解社会风险，推进市域社会治理体系和治理能力现代化，保障人民安居乐业、社会安定有序，根据有关法律法规，结合实际，制定本条例。</w:t>
      </w:r>
    </w:p>
    <w:p>
      <w:pPr>
        <w:pStyle w:val="6"/>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本市行政区域内政治安全维护</w:t>
      </w:r>
      <w:r>
        <w:rPr>
          <w:rFonts w:ascii="仿宋" w:hAnsi="仿宋" w:eastAsia="仿宋" w:cs="仿宋"/>
          <w:sz w:val="32"/>
          <w:szCs w:val="32"/>
        </w:rPr>
        <w:t>、</w:t>
      </w:r>
      <w:r>
        <w:rPr>
          <w:rFonts w:hint="eastAsia" w:ascii="仿宋" w:hAnsi="仿宋" w:eastAsia="仿宋" w:cs="仿宋"/>
          <w:sz w:val="32"/>
          <w:szCs w:val="32"/>
        </w:rPr>
        <w:t>社会治安防控、矛盾纠纷化解、公共安全保障、网络安全建设</w:t>
      </w:r>
      <w:r>
        <w:rPr>
          <w:rFonts w:ascii="仿宋" w:hAnsi="仿宋" w:eastAsia="仿宋" w:cs="仿宋"/>
          <w:sz w:val="32"/>
          <w:szCs w:val="32"/>
        </w:rPr>
        <w:t>、</w:t>
      </w:r>
      <w:r>
        <w:rPr>
          <w:rFonts w:hint="eastAsia" w:ascii="仿宋" w:hAnsi="仿宋" w:eastAsia="仿宋" w:cs="仿宋"/>
          <w:sz w:val="32"/>
          <w:szCs w:val="32"/>
        </w:rPr>
        <w:t>基层社会治理及其监督管理，适用本条例。</w:t>
      </w:r>
    </w:p>
    <w:p>
      <w:pPr>
        <w:pStyle w:val="6"/>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以习近平新时代中国特色社会主义思想为指导，坚持以人民为中心，完善党委领导、政府负责、民主协商、社会协同、公众参与、法治保障、科技支撑的社会治理体系，提高市域社会治理社会化、法治化、智能化、专业化水平，构建共建共治共享的社会治理格局，</w:t>
      </w:r>
      <w:r>
        <w:rPr>
          <w:rFonts w:ascii="仿宋" w:hAnsi="仿宋" w:eastAsia="仿宋" w:cs="仿宋"/>
          <w:sz w:val="32"/>
          <w:szCs w:val="32"/>
        </w:rPr>
        <w:t>不断</w:t>
      </w:r>
      <w:r>
        <w:rPr>
          <w:rFonts w:hint="eastAsia" w:ascii="仿宋" w:hAnsi="仿宋" w:eastAsia="仿宋" w:cs="仿宋"/>
          <w:sz w:val="32"/>
          <w:szCs w:val="32"/>
          <w:lang w:eastAsia="zh-CN"/>
        </w:rPr>
        <w:t>增强</w:t>
      </w:r>
      <w:r>
        <w:rPr>
          <w:rFonts w:ascii="仿宋" w:hAnsi="仿宋" w:eastAsia="仿宋" w:cs="仿宋"/>
          <w:sz w:val="32"/>
          <w:szCs w:val="32"/>
        </w:rPr>
        <w:t>人民</w:t>
      </w:r>
      <w:r>
        <w:rPr>
          <w:rFonts w:hint="eastAsia" w:ascii="仿宋" w:hAnsi="仿宋" w:eastAsia="仿宋" w:cs="仿宋"/>
          <w:sz w:val="32"/>
          <w:szCs w:val="32"/>
          <w:lang w:eastAsia="zh-CN"/>
        </w:rPr>
        <w:t>群众</w:t>
      </w:r>
      <w:r>
        <w:rPr>
          <w:rFonts w:ascii="仿宋" w:hAnsi="仿宋" w:eastAsia="仿宋" w:cs="仿宋"/>
          <w:sz w:val="32"/>
          <w:szCs w:val="32"/>
        </w:rPr>
        <w:t>的获得感</w:t>
      </w:r>
      <w:r>
        <w:rPr>
          <w:rFonts w:hint="eastAsia" w:ascii="仿宋" w:hAnsi="仿宋" w:eastAsia="仿宋" w:cs="仿宋"/>
          <w:sz w:val="32"/>
          <w:szCs w:val="32"/>
        </w:rPr>
        <w:t>、</w:t>
      </w:r>
      <w:r>
        <w:rPr>
          <w:rFonts w:ascii="仿宋" w:hAnsi="仿宋" w:eastAsia="仿宋" w:cs="仿宋"/>
          <w:sz w:val="32"/>
          <w:szCs w:val="32"/>
        </w:rPr>
        <w:t>幸福感</w:t>
      </w:r>
      <w:r>
        <w:rPr>
          <w:rFonts w:hint="eastAsia" w:ascii="仿宋" w:hAnsi="仿宋" w:eastAsia="仿宋" w:cs="仿宋"/>
          <w:sz w:val="32"/>
          <w:szCs w:val="32"/>
        </w:rPr>
        <w:t>、</w:t>
      </w:r>
      <w:r>
        <w:rPr>
          <w:rFonts w:ascii="仿宋" w:hAnsi="仿宋" w:eastAsia="仿宋" w:cs="仿宋"/>
          <w:sz w:val="32"/>
          <w:szCs w:val="32"/>
        </w:rPr>
        <w:t>安全感</w:t>
      </w:r>
      <w:r>
        <w:rPr>
          <w:rFonts w:hint="eastAsia" w:ascii="仿宋" w:hAnsi="仿宋" w:eastAsia="仿宋" w:cs="仿宋"/>
          <w:sz w:val="32"/>
          <w:szCs w:val="32"/>
        </w:rPr>
        <w:t>。</w:t>
      </w:r>
    </w:p>
    <w:p>
      <w:pPr>
        <w:pStyle w:val="6"/>
        <w:numPr>
          <w:ilvl w:val="0"/>
          <w:numId w:val="3"/>
        </w:numPr>
        <w:ind w:firstLine="640" w:firstLineChars="200"/>
        <w:rPr>
          <w:rFonts w:hint="eastAsia" w:ascii="仿宋" w:hAnsi="仿宋" w:eastAsia="仿宋" w:cs="仿宋"/>
          <w:sz w:val="32"/>
          <w:szCs w:val="32"/>
        </w:rPr>
      </w:pPr>
      <w:r>
        <w:rPr>
          <w:rFonts w:hint="eastAsia" w:ascii="仿宋" w:hAnsi="仿宋" w:eastAsia="仿宋" w:cs="仿宋"/>
          <w:sz w:val="32"/>
          <w:szCs w:val="32"/>
        </w:rPr>
        <w:t>坚持系统治理,治理主体从政府包揽向政府主导、社会共同治理转变；坚持依法治理，治理方式从管控规制向法治保障转变；坚持综合治理，治理手段从单一手段向多种手段综合运用转变；坚持源头治理，治理环节上从事后处置向源头治理前移。</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成立由市委、市政府主要负责人为组长的市域社会治理领导小组，统筹规划平安建设、法治建设与经济社会同步发展，定期研究社会矛盾和风险隐患排查整治工作，及时处置影响社会稳定的重要事项和突发事件。</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lang w:val="en-US" w:eastAsia="zh-Hans"/>
        </w:rPr>
        <w:t>各级</w:t>
      </w:r>
      <w:r>
        <w:rPr>
          <w:rFonts w:hint="eastAsia" w:ascii="仿宋" w:hAnsi="仿宋" w:eastAsia="仿宋" w:cs="仿宋"/>
          <w:sz w:val="32"/>
          <w:szCs w:val="32"/>
        </w:rPr>
        <w:t>人民政府负责本辖区内的社会治理工作。</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监察委员会、人民法院、人民检察院按照各自职责，做好社会治理相关工作。</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u w:val="none"/>
        </w:rPr>
        <w:t>社会组织</w:t>
      </w:r>
      <w:r>
        <w:rPr>
          <w:rFonts w:ascii="仿宋" w:hAnsi="仿宋" w:eastAsia="仿宋" w:cs="仿宋"/>
          <w:sz w:val="32"/>
          <w:szCs w:val="32"/>
          <w:u w:val="none"/>
        </w:rPr>
        <w:t>、</w:t>
      </w:r>
      <w:r>
        <w:rPr>
          <w:rFonts w:hint="eastAsia" w:ascii="仿宋" w:hAnsi="仿宋" w:eastAsia="仿宋" w:cs="仿宋"/>
          <w:sz w:val="32"/>
          <w:szCs w:val="32"/>
          <w:u w:val="none"/>
        </w:rPr>
        <w:t>企事业单位</w:t>
      </w:r>
      <w:r>
        <w:rPr>
          <w:rFonts w:ascii="仿宋" w:hAnsi="仿宋" w:eastAsia="仿宋" w:cs="仿宋"/>
          <w:sz w:val="32"/>
          <w:szCs w:val="32"/>
          <w:u w:val="none"/>
        </w:rPr>
        <w:t>、</w:t>
      </w:r>
      <w:r>
        <w:rPr>
          <w:rFonts w:hint="eastAsia" w:ascii="仿宋" w:hAnsi="仿宋" w:eastAsia="仿宋" w:cs="仿宋"/>
          <w:sz w:val="32"/>
          <w:szCs w:val="32"/>
        </w:rPr>
        <w:t>公民应当积极参与社会治理工作</w:t>
      </w:r>
      <w:r>
        <w:rPr>
          <w:rFonts w:ascii="仿宋" w:hAnsi="仿宋" w:eastAsia="仿宋" w:cs="仿宋"/>
          <w:sz w:val="32"/>
          <w:szCs w:val="32"/>
        </w:rPr>
        <w:t>。</w:t>
      </w:r>
    </w:p>
    <w:p>
      <w:pPr>
        <w:pStyle w:val="2"/>
        <w:jc w:val="center"/>
        <w:rPr>
          <w:szCs w:val="22"/>
        </w:rPr>
      </w:pPr>
      <w:bookmarkStart w:id="2" w:name="_Toc1647"/>
      <w:r>
        <w:rPr>
          <w:rFonts w:hint="eastAsia"/>
        </w:rPr>
        <w:t>第二章 社会治理</w:t>
      </w:r>
      <w:bookmarkEnd w:id="2"/>
    </w:p>
    <w:p>
      <w:pPr>
        <w:pStyle w:val="3"/>
        <w:jc w:val="center"/>
      </w:pPr>
      <w:bookmarkStart w:id="3" w:name="_Toc32353"/>
      <w:r>
        <w:rPr>
          <w:rFonts w:hint="eastAsia"/>
        </w:rPr>
        <w:t>第一节 政治安全维护</w:t>
      </w:r>
      <w:bookmarkEnd w:id="3"/>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推动理想信念教育常态化、制度化，加强中国共产党党史、新中国史、改革开放史、</w:t>
      </w:r>
      <w:r>
        <w:rPr>
          <w:rFonts w:ascii="仿宋" w:hAnsi="仿宋" w:eastAsia="仿宋" w:cs="仿宋"/>
          <w:sz w:val="32"/>
          <w:szCs w:val="32"/>
        </w:rPr>
        <w:t>社会主义发展史</w:t>
      </w:r>
      <w:r>
        <w:rPr>
          <w:rFonts w:hint="eastAsia" w:ascii="仿宋" w:hAnsi="仿宋" w:eastAsia="仿宋" w:cs="仿宋"/>
          <w:sz w:val="32"/>
          <w:szCs w:val="32"/>
        </w:rPr>
        <w:t>教育，弘扬爱国主义、集体主义、社会主义精神。</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lang w:val="en-US" w:eastAsia="zh-Hans"/>
        </w:rPr>
        <w:t>任何组织和个人</w:t>
      </w:r>
      <w:r>
        <w:rPr>
          <w:rFonts w:hint="eastAsia" w:ascii="仿宋" w:hAnsi="仿宋" w:eastAsia="仿宋" w:cs="仿宋"/>
          <w:sz w:val="32"/>
          <w:szCs w:val="32"/>
        </w:rPr>
        <w:t>不得编造、传播有损国家和民族尊严、伤害人民感情的言论或者信息。</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维护国家政治安全体系，建立健全国家政治安全风险研判、防控协同、防控化解机制，建立涉稳风险大数据智慧平台。</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依法打击境内外敌对势力渗透、破坏、颠覆、分裂活动和间谍活动，严厉打击暴力恐怖活动，严惩危害国家安全的违法犯罪行为。</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加强反邪教宣传和教育工作，</w:t>
      </w:r>
      <w:r>
        <w:rPr>
          <w:rFonts w:hint="eastAsia" w:ascii="仿宋" w:hAnsi="仿宋" w:eastAsia="仿宋" w:cs="仿宋"/>
          <w:sz w:val="32"/>
          <w:szCs w:val="32"/>
          <w:lang w:val="en-US" w:eastAsia="zh-Hans"/>
        </w:rPr>
        <w:t>依法惩治</w:t>
      </w:r>
      <w:r>
        <w:rPr>
          <w:rFonts w:hint="eastAsia" w:ascii="仿宋" w:hAnsi="仿宋" w:eastAsia="仿宋" w:cs="仿宋"/>
          <w:sz w:val="32"/>
          <w:szCs w:val="32"/>
        </w:rPr>
        <w:t>利用宗教名义从事危害国家安全</w:t>
      </w:r>
      <w:r>
        <w:rPr>
          <w:rFonts w:ascii="仿宋" w:hAnsi="仿宋" w:eastAsia="仿宋" w:cs="仿宋"/>
          <w:sz w:val="32"/>
          <w:szCs w:val="32"/>
        </w:rPr>
        <w:t>、</w:t>
      </w:r>
      <w:r>
        <w:rPr>
          <w:rFonts w:hint="eastAsia" w:ascii="仿宋" w:hAnsi="仿宋" w:eastAsia="仿宋" w:cs="仿宋"/>
          <w:sz w:val="32"/>
          <w:szCs w:val="32"/>
        </w:rPr>
        <w:t>社会公共利益和其他公民合法权益的违法犯罪活动。</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完善涉邪教风险预警与处置机制，建立</w:t>
      </w:r>
      <w:r>
        <w:rPr>
          <w:rFonts w:hint="eastAsia" w:ascii="仿宋" w:hAnsi="仿宋" w:eastAsia="仿宋" w:cs="仿宋"/>
          <w:sz w:val="32"/>
          <w:szCs w:val="32"/>
          <w:u w:val="none"/>
        </w:rPr>
        <w:t>各级</w:t>
      </w:r>
      <w:r>
        <w:rPr>
          <w:rFonts w:hint="eastAsia" w:ascii="仿宋" w:hAnsi="仿宋" w:eastAsia="仿宋" w:cs="仿宋"/>
          <w:sz w:val="32"/>
          <w:szCs w:val="32"/>
        </w:rPr>
        <w:t>反邪教协会，加强基层反邪教宣传教育。</w:t>
      </w:r>
    </w:p>
    <w:p>
      <w:pPr>
        <w:pStyle w:val="3"/>
        <w:jc w:val="center"/>
      </w:pPr>
      <w:bookmarkStart w:id="4" w:name="_Toc26570"/>
      <w:r>
        <w:rPr>
          <w:rFonts w:hint="eastAsia"/>
        </w:rPr>
        <w:t>第二节 社会治安防控</w:t>
      </w:r>
      <w:bookmarkEnd w:id="4"/>
    </w:p>
    <w:p>
      <w:pPr>
        <w:pStyle w:val="6"/>
        <w:numPr>
          <w:ilvl w:val="0"/>
          <w:numId w:val="3"/>
        </w:numPr>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坚持专群结合、群防群治的社会治安防控原则，建立治安联防、问题联治、工作联动、平安联创的工作机制，构建打防管控建一体推进工作格局。</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公安机关应当加强公安检查站、治安卡点、电子卡口、街面警务站建设，完善智慧巡防体系和“1、3、5分钟”快速响应机制，提高见警率和管事率，提升社会面动态管控能力。</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lang w:val="en-US" w:eastAsia="zh-Hans"/>
        </w:rPr>
        <w:t>各级</w:t>
      </w:r>
      <w:r>
        <w:rPr>
          <w:rFonts w:hint="eastAsia" w:ascii="仿宋" w:hAnsi="仿宋" w:eastAsia="仿宋" w:cs="仿宋"/>
          <w:sz w:val="32"/>
          <w:szCs w:val="32"/>
        </w:rPr>
        <w:t>人民政府将公共安全视频监控系统纳入公共基础设施建设，确保“全域覆盖、全网共享、全时可用、全程可控”。</w:t>
      </w:r>
    </w:p>
    <w:p>
      <w:pPr>
        <w:pStyle w:val="6"/>
        <w:widowControl/>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完善居民小区、集市商超、校园周边等公共复杂场所的视频监控体系，利用视频、图像和身份识别等系统，建设平安智慧社区和智能安防小区，实现社区要素可查、可防、可控。</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在航空港、车站、景区等重点区域设立平安驿站，强化医院、学校、金融机构等重点场所的治安防护工作。</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加强全市旅馆、机动车修理、娱乐服务等重点行业治安管理工作，做好出租房屋和流动人口的服务管理工作，落实法人或负责人主体责任。加强对违禁品管理，落实收寄验视、实名收寄、过机安检“三个100%”措施，完善邮件、快件寄递和物流安全管理。</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加强对</w:t>
      </w:r>
      <w:r>
        <w:rPr>
          <w:rFonts w:hint="eastAsia" w:ascii="仿宋" w:hAnsi="仿宋" w:eastAsia="仿宋" w:cs="仿宋"/>
          <w:sz w:val="32"/>
          <w:szCs w:val="32"/>
          <w:u w:val="none"/>
        </w:rPr>
        <w:t>刑满释放人员</w:t>
      </w:r>
      <w:r>
        <w:rPr>
          <w:rFonts w:hint="eastAsia" w:ascii="仿宋" w:hAnsi="仿宋" w:eastAsia="仿宋" w:cs="仿宋"/>
          <w:sz w:val="32"/>
          <w:szCs w:val="32"/>
        </w:rPr>
        <w:t>、社区矫正对象、吸毒人员、严重精神障碍患者等重点人群的帮教和服务管理工作，完善社会帮扶关怀体系。</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建立</w:t>
      </w:r>
      <w:r>
        <w:rPr>
          <w:rFonts w:hint="eastAsia" w:ascii="仿宋" w:hAnsi="仿宋" w:eastAsia="仿宋" w:cs="仿宋"/>
          <w:sz w:val="32"/>
          <w:szCs w:val="32"/>
          <w:u w:val="none"/>
          <w:lang w:eastAsia="zh-CN"/>
        </w:rPr>
        <w:t>健全</w:t>
      </w:r>
      <w:r>
        <w:rPr>
          <w:rFonts w:hint="eastAsia" w:ascii="仿宋" w:hAnsi="仿宋" w:eastAsia="仿宋" w:cs="仿宋"/>
          <w:sz w:val="32"/>
          <w:szCs w:val="32"/>
        </w:rPr>
        <w:t>统一指挥、专业研判、分类打击机制，常态化开展扫黑除恶斗争，依法惩处电信网络诈骗、非法吸收公众存款、集资诈骗、食药环等涉众型违法犯罪。</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加强对殷墟遗址等市域内重点文物单位的保护宣传工作，增强社会公众的保护意识，依法打击涉及古文化遗址、古墓葬等违法犯罪活动。</w:t>
      </w:r>
    </w:p>
    <w:p>
      <w:pPr>
        <w:pStyle w:val="3"/>
        <w:jc w:val="center"/>
      </w:pPr>
      <w:bookmarkStart w:id="5" w:name="_Toc32324"/>
      <w:r>
        <w:rPr>
          <w:rFonts w:hint="eastAsia"/>
        </w:rPr>
        <w:t>第三节 矛盾纠纷化解</w:t>
      </w:r>
      <w:bookmarkEnd w:id="5"/>
    </w:p>
    <w:p>
      <w:pPr>
        <w:pStyle w:val="6"/>
        <w:numPr>
          <w:ilvl w:val="0"/>
          <w:numId w:val="3"/>
        </w:numPr>
        <w:spacing w:before="0" w:beforeAutospacing="0" w:after="0" w:afterAutospacing="0"/>
        <w:ind w:firstLine="640" w:firstLineChars="200"/>
        <w:rPr>
          <w:rFonts w:ascii="仿宋" w:hAnsi="仿宋" w:eastAsia="仿宋" w:cs="仿宋"/>
          <w:sz w:val="32"/>
          <w:szCs w:val="32"/>
        </w:rPr>
      </w:pPr>
      <w:bookmarkStart w:id="6" w:name="_Hlk78283704"/>
      <w:r>
        <w:rPr>
          <w:rFonts w:hint="eastAsia" w:ascii="仿宋" w:hAnsi="仿宋" w:eastAsia="仿宋" w:cs="仿宋"/>
          <w:sz w:val="32"/>
          <w:szCs w:val="32"/>
        </w:rPr>
        <w:t>坚持和发展新时代“枫桥经验”，做到小事不出村、大事不出乡、矛盾不上交。推进人民调解、行政调解、司法调解“三调联动”，完善联调联处多元化解机制，健全社会稳定风险评估机制，</w:t>
      </w:r>
      <w:r>
        <w:rPr>
          <w:rFonts w:ascii="仿宋" w:hAnsi="仿宋" w:eastAsia="仿宋" w:cs="仿宋"/>
          <w:sz w:val="32"/>
          <w:szCs w:val="32"/>
        </w:rPr>
        <w:t>从源头上</w:t>
      </w:r>
      <w:r>
        <w:rPr>
          <w:rFonts w:hint="eastAsia" w:ascii="仿宋" w:hAnsi="仿宋" w:eastAsia="仿宋" w:cs="仿宋"/>
          <w:sz w:val="32"/>
          <w:szCs w:val="32"/>
        </w:rPr>
        <w:t>预防和减少矛盾纠纷。</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lang w:val="en-US" w:eastAsia="zh-Hans"/>
        </w:rPr>
        <w:t>各级</w:t>
      </w:r>
      <w:r>
        <w:rPr>
          <w:rFonts w:hint="eastAsia" w:ascii="仿宋" w:hAnsi="仿宋" w:eastAsia="仿宋" w:cs="仿宋"/>
          <w:sz w:val="32"/>
          <w:szCs w:val="32"/>
        </w:rPr>
        <w:t>人民政府应当落实矛盾纠纷排查化解联席会议制度，加强对跨区域、跨部门、跨行业矛盾纠纷的联合调处。</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在市、县</w:t>
      </w:r>
      <w:r>
        <w:rPr>
          <w:rFonts w:hint="default" w:ascii="仿宋" w:hAnsi="仿宋" w:eastAsia="仿宋" w:cs="仿宋"/>
          <w:sz w:val="32"/>
          <w:szCs w:val="32"/>
        </w:rPr>
        <w:t>（</w:t>
      </w:r>
      <w:r>
        <w:rPr>
          <w:rFonts w:hint="eastAsia" w:ascii="仿宋" w:hAnsi="仿宋" w:eastAsia="仿宋" w:cs="仿宋"/>
          <w:sz w:val="32"/>
          <w:szCs w:val="32"/>
          <w:lang w:val="en-US" w:eastAsia="zh-Hans"/>
        </w:rPr>
        <w:t>市</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区</w:t>
      </w:r>
      <w:r>
        <w:rPr>
          <w:rFonts w:hint="default" w:ascii="仿宋" w:hAnsi="仿宋" w:eastAsia="仿宋" w:cs="仿宋"/>
          <w:sz w:val="32"/>
          <w:szCs w:val="32"/>
        </w:rPr>
        <w:t>）</w:t>
      </w:r>
      <w:r>
        <w:rPr>
          <w:rFonts w:hint="eastAsia" w:ascii="仿宋" w:hAnsi="仿宋" w:eastAsia="仿宋" w:cs="仿宋"/>
          <w:sz w:val="32"/>
          <w:szCs w:val="32"/>
        </w:rPr>
        <w:t>、乡</w:t>
      </w:r>
      <w:r>
        <w:rPr>
          <w:rFonts w:hint="eastAsia" w:ascii="仿宋" w:hAnsi="仿宋" w:eastAsia="仿宋" w:cs="仿宋"/>
          <w:sz w:val="32"/>
          <w:szCs w:val="32"/>
          <w:lang w:val="en-US" w:eastAsia="zh-Hans"/>
        </w:rPr>
        <w:t>镇</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街道</w:t>
      </w:r>
      <w:r>
        <w:rPr>
          <w:rFonts w:hint="default" w:ascii="仿宋" w:hAnsi="仿宋" w:eastAsia="仿宋" w:cs="仿宋"/>
          <w:sz w:val="32"/>
          <w:szCs w:val="32"/>
          <w:lang w:eastAsia="zh-Hans"/>
        </w:rPr>
        <w:t>）</w:t>
      </w:r>
      <w:r>
        <w:rPr>
          <w:rFonts w:hint="eastAsia" w:ascii="仿宋" w:hAnsi="仿宋" w:eastAsia="仿宋" w:cs="仿宋"/>
          <w:sz w:val="32"/>
          <w:szCs w:val="32"/>
        </w:rPr>
        <w:t>三级建立一站式社会矛盾纠纷调处中心，融合综治中心、信访接待中心、公共法律服务中心、行政争议调解中心、人民调解中心、诉讼服务中心、检察服务中心、政务咨询投诉举报平台等，实现矛盾纠纷的集中交办、归口办理、限时反馈，形成矛盾纠纷多元化解的工作格局</w:t>
      </w:r>
      <w:r>
        <w:rPr>
          <w:rFonts w:ascii="仿宋" w:hAnsi="仿宋" w:eastAsia="仿宋" w:cs="仿宋"/>
          <w:sz w:val="32"/>
          <w:szCs w:val="32"/>
        </w:rPr>
        <w:t>，</w:t>
      </w:r>
      <w:r>
        <w:rPr>
          <w:rFonts w:hint="eastAsia" w:ascii="仿宋" w:hAnsi="仿宋" w:eastAsia="仿宋" w:cs="仿宋"/>
          <w:sz w:val="32"/>
          <w:szCs w:val="32"/>
        </w:rPr>
        <w:t>便利群众表达诉求</w:t>
      </w:r>
      <w:r>
        <w:rPr>
          <w:rFonts w:ascii="仿宋" w:hAnsi="仿宋" w:eastAsia="仿宋" w:cs="仿宋"/>
          <w:sz w:val="32"/>
          <w:szCs w:val="32"/>
        </w:rPr>
        <w:t>、</w:t>
      </w:r>
      <w:r>
        <w:rPr>
          <w:rFonts w:hint="eastAsia" w:ascii="仿宋" w:hAnsi="仿宋" w:eastAsia="仿宋" w:cs="仿宋"/>
          <w:sz w:val="32"/>
          <w:szCs w:val="32"/>
        </w:rPr>
        <w:t>化解社会矛盾</w:t>
      </w:r>
      <w:r>
        <w:rPr>
          <w:rFonts w:ascii="仿宋" w:hAnsi="仿宋" w:eastAsia="仿宋" w:cs="仿宋"/>
          <w:sz w:val="32"/>
          <w:szCs w:val="32"/>
        </w:rPr>
        <w:t>。</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lang w:val="en-US" w:eastAsia="zh-Hans"/>
        </w:rPr>
        <w:t>各级</w:t>
      </w:r>
      <w:r>
        <w:rPr>
          <w:rFonts w:hint="eastAsia" w:ascii="仿宋" w:hAnsi="仿宋" w:eastAsia="仿宋" w:cs="仿宋"/>
          <w:sz w:val="32"/>
          <w:szCs w:val="32"/>
        </w:rPr>
        <w:t>人民政府应当加强专职人民调解员队伍建设，鼓励和支持老党员、老干部、老教师、老政法工作者、老模范等担任人民调解员。</w:t>
      </w:r>
    </w:p>
    <w:p>
      <w:pPr>
        <w:pStyle w:val="6"/>
        <w:widowControl/>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加强行业性、专业性人民调解委员会建设，对医疗服务、物业管理、劳动争议、交通事故等矛盾纠纷多发领域，优先通过行业领军人员、律师或行业专业调解委员会解决。</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行政机关或者法律法规授权的具有行政管理职能的组织，应当成立行政调解委员会，对与履行行政管理职责有关的民事纠纷或者行政争议，优先通过调解化解争议。行政调解事项清单由司法行政主管部门会同职能部门制定并向社会公布</w:t>
      </w:r>
      <w:r>
        <w:rPr>
          <w:rFonts w:ascii="仿宋" w:hAnsi="仿宋" w:eastAsia="仿宋" w:cs="仿宋"/>
          <w:sz w:val="32"/>
          <w:szCs w:val="32"/>
        </w:rPr>
        <w:t>。</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人民法院应当依法做好诉讼与非诉讼矛盾纠纷化解衔接工作。对当事人起诉到人民法院适宜调解的案件，可以引导当事人选择适宜的非诉讼途径，也可以委派人民调解委员会、特邀调解组织或者特邀调解员等进行调解。达成调解协议的，可以依法向人民法院申请司法确认。调解不成的，人民法院应当依法受理。</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加强民商事仲裁机构快速通道建设，引导各类市场主体优先选择仲裁方式解决民商事纠纷。</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人民检察院对涉及食品药品安全、生态环境和资源保护、国有财产保护、未成年人保护等损害社会公共利益的行为，应当积极通过公益诉讼等途径实现社会公共利益。</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落实市</w:t>
      </w:r>
      <w:r>
        <w:rPr>
          <w:rFonts w:ascii="仿宋" w:hAnsi="仿宋" w:eastAsia="仿宋" w:cs="仿宋"/>
          <w:sz w:val="32"/>
          <w:szCs w:val="32"/>
        </w:rPr>
        <w:t>、</w:t>
      </w:r>
      <w:r>
        <w:rPr>
          <w:rFonts w:hint="eastAsia" w:ascii="仿宋" w:hAnsi="仿宋" w:eastAsia="仿宋" w:cs="仿宋"/>
          <w:sz w:val="32"/>
          <w:szCs w:val="32"/>
        </w:rPr>
        <w:t>县领导干部定期下基层接访和包案制度。畅通和规范人民群众诉求表达渠道，拓宽手机微信等网上信访方式，引导群众依法、理性表达利益诉求，并及时作出回应。</w:t>
      </w:r>
    </w:p>
    <w:p>
      <w:pPr>
        <w:pStyle w:val="6"/>
        <w:spacing w:beforeAutospacing="0" w:afterAutospacing="0"/>
        <w:ind w:firstLine="640" w:firstLineChars="200"/>
        <w:rPr>
          <w:rFonts w:ascii="仿宋" w:hAnsi="仿宋" w:eastAsia="仿宋" w:cs="仿宋"/>
          <w:sz w:val="32"/>
          <w:szCs w:val="32"/>
        </w:rPr>
      </w:pPr>
      <w:r>
        <w:rPr>
          <w:rFonts w:hint="eastAsia" w:ascii="仿宋" w:hAnsi="仿宋" w:eastAsia="仿宋" w:cs="仿宋"/>
          <w:sz w:val="32"/>
          <w:szCs w:val="32"/>
        </w:rPr>
        <w:t>信访人在信访过程中，应当遵守法律法规。违反规定的，由国家机关工作人员对信访人进行劝阻、批评或者教育。经劝阻、批评和教育无效的，由公安机关予以警告、训诫、制止或者治安处罚；构成犯罪的，依法追究刑事责任。</w:t>
      </w:r>
    </w:p>
    <w:p>
      <w:pPr>
        <w:pStyle w:val="11"/>
        <w:widowControl/>
        <w:numPr>
          <w:ilvl w:val="0"/>
          <w:numId w:val="3"/>
        </w:numPr>
        <w:spacing w:before="0" w:beforeAutospacing="0" w:after="0" w:afterAutospacing="0" w:line="310" w:lineRule="atLeast"/>
        <w:ind w:firstLine="640" w:firstLineChars="0"/>
        <w:jc w:val="left"/>
        <w:rPr>
          <w:rFonts w:ascii="仿宋" w:hAnsi="仿宋" w:eastAsia="仿宋" w:cs="仿宋"/>
          <w:sz w:val="32"/>
          <w:szCs w:val="32"/>
        </w:rPr>
      </w:pPr>
      <w:r>
        <w:rPr>
          <w:rFonts w:hint="eastAsia" w:ascii="仿宋" w:hAnsi="仿宋" w:eastAsia="仿宋" w:cs="仿宋"/>
          <w:sz w:val="32"/>
          <w:szCs w:val="32"/>
        </w:rPr>
        <w:t>将心理服务纳入社会公共服务体系，建立市、县</w:t>
      </w:r>
      <w:r>
        <w:rPr>
          <w:rFonts w:hint="default" w:ascii="仿宋" w:hAnsi="仿宋" w:eastAsia="仿宋" w:cs="仿宋"/>
          <w:sz w:val="32"/>
          <w:szCs w:val="32"/>
        </w:rPr>
        <w:t>（</w:t>
      </w:r>
      <w:r>
        <w:rPr>
          <w:rFonts w:hint="eastAsia" w:ascii="仿宋" w:hAnsi="仿宋" w:eastAsia="仿宋" w:cs="仿宋"/>
          <w:sz w:val="32"/>
          <w:szCs w:val="32"/>
          <w:lang w:val="en-US" w:eastAsia="zh-Hans"/>
        </w:rPr>
        <w:t>市</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区</w:t>
      </w:r>
      <w:r>
        <w:rPr>
          <w:rFonts w:hint="default" w:ascii="仿宋" w:hAnsi="仿宋" w:eastAsia="仿宋" w:cs="仿宋"/>
          <w:sz w:val="32"/>
          <w:szCs w:val="32"/>
          <w:lang w:eastAsia="zh-Hans"/>
        </w:rPr>
        <w:t>）</w:t>
      </w:r>
      <w:r>
        <w:rPr>
          <w:rFonts w:hint="eastAsia" w:ascii="仿宋" w:hAnsi="仿宋" w:eastAsia="仿宋" w:cs="仿宋"/>
          <w:sz w:val="32"/>
          <w:szCs w:val="32"/>
        </w:rPr>
        <w:t>两级心理服务人才库和心理服务平台，推进社会心理服务队伍和机构建设。完善社会心理疏导、危机干预机制，开展社会心态监测、心理健康指导、心理咨询服务等活动，加强心理健康</w:t>
      </w:r>
      <w:r>
        <w:rPr>
          <w:rFonts w:hint="eastAsia" w:ascii="仿宋" w:hAnsi="仿宋" w:eastAsia="仿宋" w:cs="仿宋"/>
          <w:kern w:val="2"/>
          <w:sz w:val="32"/>
          <w:szCs w:val="32"/>
          <w:lang w:val="en-US" w:eastAsia="zh-CN" w:bidi="ar-SA"/>
        </w:rPr>
        <w:t>知识宣传，推动社会心理服务和教育进学校、进社区、进单位，</w:t>
      </w:r>
      <w:r>
        <w:rPr>
          <w:rFonts w:hint="eastAsia" w:ascii="仿宋" w:hAnsi="仿宋" w:eastAsia="仿宋" w:cs="仿宋"/>
          <w:sz w:val="32"/>
          <w:szCs w:val="32"/>
        </w:rPr>
        <w:t>培育自尊自信、理性包容、积极向上的社会心态。</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县（市、区）人民政府通过购买服务或者社会组织志愿服务等形式，为贫困、失独等特殊家庭，农村留守人员、未成年人犯罪案件被告人和被害人、严重精神障碍患者等特殊人群，提供心理辅导、危机干预等心理援助工作，防范和降低社会矛盾发生的风险。</w:t>
      </w:r>
    </w:p>
    <w:p>
      <w:pPr>
        <w:pStyle w:val="3"/>
        <w:ind w:firstLine="641" w:firstLineChars="200"/>
        <w:jc w:val="center"/>
      </w:pPr>
      <w:bookmarkStart w:id="7" w:name="_Toc12139"/>
      <w:r>
        <w:rPr>
          <w:rFonts w:hint="eastAsia"/>
        </w:rPr>
        <w:t>第四节 公共安全维护</w:t>
      </w:r>
      <w:bookmarkEnd w:id="7"/>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坚持安全发展、预防为主、公众参与的原则，形成源头治理、动态监控、应急处置相结合的公共安全工作格局。</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落实属地责任，编制突发事件应急预案，建立各行业安全评估、化解、管控制度，完善公共安全风险预警体系，健全市、县</w:t>
      </w:r>
      <w:r>
        <w:rPr>
          <w:rFonts w:hint="default" w:ascii="仿宋" w:hAnsi="仿宋" w:eastAsia="仿宋" w:cs="仿宋"/>
          <w:sz w:val="32"/>
          <w:szCs w:val="32"/>
        </w:rPr>
        <w:t>（</w:t>
      </w:r>
      <w:r>
        <w:rPr>
          <w:rFonts w:hint="eastAsia" w:ascii="仿宋" w:hAnsi="仿宋" w:eastAsia="仿宋" w:cs="仿宋"/>
          <w:sz w:val="32"/>
          <w:szCs w:val="32"/>
          <w:lang w:val="en-US" w:eastAsia="zh-Hans"/>
        </w:rPr>
        <w:t>市</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区</w:t>
      </w:r>
      <w:r>
        <w:rPr>
          <w:rFonts w:hint="default" w:ascii="仿宋" w:hAnsi="仿宋" w:eastAsia="仿宋" w:cs="仿宋"/>
          <w:sz w:val="32"/>
          <w:szCs w:val="32"/>
        </w:rPr>
        <w:t>）</w:t>
      </w:r>
      <w:r>
        <w:rPr>
          <w:rFonts w:hint="eastAsia" w:ascii="仿宋" w:hAnsi="仿宋" w:eastAsia="仿宋" w:cs="仿宋"/>
          <w:sz w:val="32"/>
          <w:szCs w:val="32"/>
        </w:rPr>
        <w:t>、乡</w:t>
      </w:r>
      <w:r>
        <w:rPr>
          <w:rFonts w:hint="eastAsia" w:ascii="仿宋" w:hAnsi="仿宋" w:eastAsia="仿宋" w:cs="仿宋"/>
          <w:sz w:val="32"/>
          <w:szCs w:val="32"/>
          <w:lang w:val="en-US" w:eastAsia="zh-Hans"/>
        </w:rPr>
        <w:t>镇</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街道</w:t>
      </w:r>
      <w:r>
        <w:rPr>
          <w:rFonts w:hint="default" w:ascii="仿宋" w:hAnsi="仿宋" w:eastAsia="仿宋" w:cs="仿宋"/>
          <w:sz w:val="32"/>
          <w:szCs w:val="32"/>
          <w:lang w:eastAsia="zh-Hans"/>
        </w:rPr>
        <w:t>）</w:t>
      </w:r>
      <w:r>
        <w:rPr>
          <w:rFonts w:hint="eastAsia" w:ascii="仿宋" w:hAnsi="仿宋" w:eastAsia="仿宋" w:cs="仿宋"/>
          <w:sz w:val="32"/>
          <w:szCs w:val="32"/>
        </w:rPr>
        <w:t>三级应急处置平台，提高快速反应和应急处置能力。</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充分开展城市公共安全管理宣传教育工作，增强全民的公共安全和社会责任意识，提高全社会避险、自救、互救等能力。</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市域范围内各行业应当建立健全安全管理制度和安全责任制，加强对安全防范措施的监督检查，定期开展风险评估，建立完善安全风险评估与论证机制，对重大安全风险实行联防联控。及时消除事故隐患，形成新技术、新产业、新模式的行业安全监管体系。</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针对突发公共安全事件，履行统一领导职责或者组织处理突发事件的责任主体应当针对事件性质、特点、危害程度，立即组织有关部门，调动应急救援队伍和社会力量，及时采取应急处置措施。</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建立突发事件风险沟通机制，畅通政府有关部门、专业机构、新闻媒体、公众之间信息传递和交流渠道，优化公共事件的快速反应机制，完善公共事件信息公开、发布制度，加强对公共事件的信息收集、发布工作的协调和管理，对自媒体及有关平台的报道进行引导、监督。</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任何单位和个人不得编造、传播有关公共安全事件事态发展或有关情况的虚假信息。</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重大突发事件应急处置应当依法通过政务数据平台，向供水、供电、供气、通信、公共交通等公共服务企业，归集相关数据，为突发事件处置提供数据支撑</w:t>
      </w:r>
      <w:r>
        <w:rPr>
          <w:rFonts w:hint="eastAsia"/>
          <w:sz w:val="28"/>
          <w:szCs w:val="28"/>
        </w:rPr>
        <w:t>。</w:t>
      </w:r>
    </w:p>
    <w:p>
      <w:pPr>
        <w:pStyle w:val="6"/>
        <w:spacing w:before="0" w:beforeAutospacing="0" w:after="0" w:afterAutospacing="0"/>
        <w:ind w:left="640"/>
        <w:rPr>
          <w:rFonts w:ascii="仿宋" w:hAnsi="仿宋" w:eastAsia="仿宋" w:cs="仿宋"/>
          <w:sz w:val="32"/>
          <w:szCs w:val="32"/>
        </w:rPr>
      </w:pPr>
      <w:r>
        <w:rPr>
          <w:rFonts w:hint="eastAsia" w:ascii="仿宋" w:hAnsi="仿宋" w:eastAsia="仿宋" w:cs="仿宋"/>
          <w:sz w:val="32"/>
          <w:szCs w:val="32"/>
        </w:rPr>
        <w:t>社会数据所有方、管理单位应当及时提供相关数据。</w:t>
      </w:r>
    </w:p>
    <w:p>
      <w:pPr>
        <w:pStyle w:val="6"/>
        <w:numPr>
          <w:ilvl w:val="0"/>
          <w:numId w:val="3"/>
        </w:numPr>
        <w:spacing w:before="0" w:beforeAutospacing="0" w:after="0" w:afterAutospacing="0"/>
        <w:ind w:firstLine="640"/>
        <w:rPr>
          <w:rFonts w:ascii="仿宋" w:hAnsi="仿宋" w:eastAsia="仿宋" w:cs="仿宋"/>
          <w:sz w:val="32"/>
          <w:szCs w:val="32"/>
        </w:rPr>
      </w:pPr>
      <w:r>
        <w:rPr>
          <w:rFonts w:hint="eastAsia" w:ascii="仿宋" w:hAnsi="仿宋" w:eastAsia="仿宋" w:cs="仿宋"/>
          <w:sz w:val="32"/>
          <w:szCs w:val="32"/>
        </w:rPr>
        <w:t>加强重大</w:t>
      </w:r>
      <w:r>
        <w:rPr>
          <w:rFonts w:ascii="仿宋" w:hAnsi="仿宋" w:eastAsia="仿宋" w:cs="仿宋"/>
          <w:sz w:val="32"/>
          <w:szCs w:val="32"/>
        </w:rPr>
        <w:t>、</w:t>
      </w:r>
      <w:r>
        <w:rPr>
          <w:rFonts w:hint="eastAsia" w:ascii="仿宋" w:hAnsi="仿宋" w:eastAsia="仿宋" w:cs="仿宋"/>
          <w:sz w:val="32"/>
          <w:szCs w:val="32"/>
        </w:rPr>
        <w:t>突发事件的应急处置能力和恢复重建能力，提高公共卫生等战略物资生产储备能力，加强战略物资和应急物资保障。</w:t>
      </w:r>
    </w:p>
    <w:p>
      <w:pPr>
        <w:ind w:firstLine="640" w:firstLineChars="200"/>
        <w:rPr>
          <w:rFonts w:ascii="仿宋" w:hAnsi="仿宋" w:eastAsia="仿宋" w:cs="仿宋"/>
          <w:sz w:val="32"/>
          <w:szCs w:val="32"/>
        </w:rPr>
      </w:pPr>
      <w:r>
        <w:rPr>
          <w:rFonts w:hint="eastAsia" w:ascii="仿宋" w:hAnsi="仿宋" w:eastAsia="仿宋" w:cs="仿宋"/>
          <w:sz w:val="32"/>
          <w:szCs w:val="32"/>
        </w:rPr>
        <w:t>成立专业化的应急救援队伍，鼓励发展多元化社会应急救援服务，建立应急救援志愿者队伍，加强对应急救援队伍的指导和合作。</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建立科学有效的社会动员机制，发挥工会、慈善机构、红十字会、应急志愿者协会、妇女联合会等组织和公众在城市公共事件或突发情况应对工作中的作用。</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开展自然灾害和事故灾难风险评估，建立健全城市安全风险评估及动态调整机制。强化防汛、抗旱、地震、森林火灾等重点灾害综合治理，健全应急避难场所运行管理机制。</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lang w:val="en-US" w:eastAsia="zh-Hans"/>
        </w:rPr>
        <w:t>一切组织和个人应服从</w:t>
      </w:r>
      <w:r>
        <w:rPr>
          <w:rFonts w:hint="eastAsia" w:ascii="仿宋" w:hAnsi="仿宋" w:eastAsia="仿宋" w:cs="仿宋"/>
          <w:sz w:val="32"/>
          <w:szCs w:val="32"/>
        </w:rPr>
        <w:t>人民政府对突发事件的部署安排和管控措施。</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加强对公共安全事件的起因、性质、过程、后果的调查和分析研判，对应急体系建设情况、监测预警与风险防御、处置与救援等工作进行评估，落实责任主体，制定改进措施，并向上一级人民政府提出报告。</w:t>
      </w:r>
    </w:p>
    <w:p>
      <w:pPr>
        <w:pStyle w:val="3"/>
        <w:ind w:firstLine="641" w:firstLineChars="200"/>
        <w:jc w:val="center"/>
      </w:pPr>
      <w:bookmarkStart w:id="8" w:name="_Toc14373"/>
      <w:r>
        <w:rPr>
          <w:rFonts w:hint="eastAsia"/>
        </w:rPr>
        <w:t>第五节 网络安全建设</w:t>
      </w:r>
      <w:bookmarkEnd w:id="6"/>
      <w:bookmarkEnd w:id="8"/>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强化网络安全主体责任，加强网络安全、网络意识形态、网络舆情事件等应急处置的统一指挥、协调。</w:t>
      </w:r>
    </w:p>
    <w:p>
      <w:pPr>
        <w:pStyle w:val="6"/>
        <w:numPr>
          <w:ilvl w:val="255"/>
          <w:numId w:val="0"/>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落实依法办理、舆论引导、社会面管控的“三同步”工作机制。</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网信、通信、公安、文化等主管部门依照</w:t>
      </w:r>
      <w:r>
        <w:rPr>
          <w:rFonts w:hint="eastAsia" w:ascii="仿宋" w:hAnsi="仿宋" w:eastAsia="仿宋" w:cs="仿宋"/>
          <w:b/>
          <w:bCs/>
          <w:sz w:val="32"/>
          <w:szCs w:val="32"/>
        </w:rPr>
        <w:t>法律</w:t>
      </w:r>
      <w:r>
        <w:rPr>
          <w:rFonts w:hint="default" w:ascii="仿宋" w:hAnsi="仿宋" w:eastAsia="仿宋" w:cs="仿宋"/>
          <w:b/>
          <w:bCs/>
          <w:sz w:val="32"/>
          <w:szCs w:val="32"/>
        </w:rPr>
        <w:t>、</w:t>
      </w:r>
      <w:r>
        <w:rPr>
          <w:rFonts w:hint="eastAsia" w:ascii="仿宋" w:hAnsi="仿宋" w:eastAsia="仿宋" w:cs="仿宋"/>
          <w:b/>
          <w:bCs/>
          <w:sz w:val="32"/>
          <w:szCs w:val="32"/>
          <w:u w:val="none"/>
        </w:rPr>
        <w:t>法规</w:t>
      </w:r>
      <w:r>
        <w:rPr>
          <w:rFonts w:hint="eastAsia" w:ascii="仿宋" w:hAnsi="仿宋" w:eastAsia="仿宋" w:cs="仿宋"/>
          <w:b w:val="0"/>
          <w:bCs w:val="0"/>
          <w:sz w:val="32"/>
          <w:szCs w:val="32"/>
        </w:rPr>
        <w:t>的规定</w:t>
      </w:r>
      <w:r>
        <w:rPr>
          <w:rFonts w:hint="eastAsia" w:ascii="仿宋" w:hAnsi="仿宋" w:eastAsia="仿宋" w:cs="仿宋"/>
          <w:sz w:val="32"/>
          <w:szCs w:val="32"/>
        </w:rPr>
        <w:t>，在各自职责范围内负责网络安全保护和监管工作。</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净化网络环境，完善网络安全与网络舆情应急预案，提高网络安全防护能力，培育文明理性的网络环境。</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任何组织和个人不得利用网络从事危害国家安全、扰乱社会秩序、侵害他人合法权益等活动，不得制造、传播网络谣言。</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健全相关部门信息共享、会商研判、协调处置等工作机制，加强与其他地市跨区域协作，打击网络违法犯罪行为，切断网络违法犯罪利益链条。</w:t>
      </w:r>
    </w:p>
    <w:p>
      <w:pPr>
        <w:pStyle w:val="3"/>
        <w:ind w:firstLine="641" w:firstLineChars="200"/>
        <w:jc w:val="center"/>
      </w:pPr>
      <w:bookmarkStart w:id="9" w:name="_Toc7065"/>
      <w:r>
        <w:rPr>
          <w:rFonts w:hint="eastAsia"/>
        </w:rPr>
        <w:t>第六节 基层社会治理</w:t>
      </w:r>
      <w:bookmarkEnd w:id="9"/>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加强乡镇（街道）、村（社区）综治中心规范化建设，充分发挥综治中心整合社会治理资源、创新社会治理方式的平台作用</w:t>
      </w:r>
      <w:r>
        <w:rPr>
          <w:rFonts w:ascii="仿宋" w:hAnsi="仿宋" w:eastAsia="仿宋" w:cs="仿宋"/>
          <w:sz w:val="32"/>
          <w:szCs w:val="32"/>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在村（社区）党组织领导下，由村（居）民委员会、业主委员会或者物业管理委员会、村（居）民代表组成的议事协商机制，搭建民主协商平台，村（社区）内的公共事务、公益事业等事项进行民主协商，形成基层治理合力，增强村（居）民归属感。</w:t>
      </w:r>
    </w:p>
    <w:p>
      <w:pPr>
        <w:pStyle w:val="6"/>
        <w:numPr>
          <w:ilvl w:val="0"/>
          <w:numId w:val="0"/>
        </w:numPr>
        <w:spacing w:before="0" w:beforeAutospacing="0" w:after="0" w:afterAutospacing="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落实对村</w:t>
      </w:r>
      <w:r>
        <w:rPr>
          <w:rFonts w:ascii="仿宋" w:hAnsi="仿宋" w:eastAsia="仿宋" w:cs="仿宋"/>
          <w:color w:val="auto"/>
          <w:sz w:val="32"/>
          <w:szCs w:val="32"/>
        </w:rPr>
        <w:t>（</w:t>
      </w:r>
      <w:r>
        <w:rPr>
          <w:rFonts w:hint="eastAsia" w:ascii="仿宋" w:hAnsi="仿宋" w:eastAsia="仿宋" w:cs="仿宋"/>
          <w:color w:val="auto"/>
          <w:sz w:val="32"/>
          <w:szCs w:val="32"/>
        </w:rPr>
        <w:t>社区</w:t>
      </w:r>
      <w:r>
        <w:rPr>
          <w:rFonts w:ascii="仿宋" w:hAnsi="仿宋" w:eastAsia="仿宋" w:cs="仿宋"/>
          <w:color w:val="auto"/>
          <w:sz w:val="32"/>
          <w:szCs w:val="32"/>
        </w:rPr>
        <w:t>）</w:t>
      </w:r>
      <w:r>
        <w:rPr>
          <w:rFonts w:hint="eastAsia" w:ascii="仿宋" w:hAnsi="仿宋" w:eastAsia="仿宋" w:cs="仿宋"/>
          <w:color w:val="auto"/>
          <w:sz w:val="32"/>
          <w:szCs w:val="32"/>
        </w:rPr>
        <w:t>党组织巡察全覆盖工作</w:t>
      </w:r>
      <w:r>
        <w:rPr>
          <w:rFonts w:ascii="仿宋" w:hAnsi="仿宋" w:eastAsia="仿宋" w:cs="仿宋"/>
          <w:color w:val="auto"/>
          <w:sz w:val="32"/>
          <w:szCs w:val="32"/>
        </w:rPr>
        <w:t>，</w:t>
      </w:r>
      <w:r>
        <w:rPr>
          <w:rFonts w:hint="eastAsia" w:ascii="仿宋" w:hAnsi="仿宋" w:eastAsia="仿宋" w:cs="仿宋"/>
          <w:color w:val="auto"/>
          <w:sz w:val="32"/>
          <w:szCs w:val="32"/>
        </w:rPr>
        <w:t>实现村</w:t>
      </w:r>
      <w:r>
        <w:rPr>
          <w:rFonts w:ascii="仿宋" w:hAnsi="仿宋" w:eastAsia="仿宋" w:cs="仿宋"/>
          <w:color w:val="auto"/>
          <w:sz w:val="32"/>
          <w:szCs w:val="32"/>
        </w:rPr>
        <w:t>（</w:t>
      </w:r>
      <w:r>
        <w:rPr>
          <w:rFonts w:hint="eastAsia" w:ascii="仿宋" w:hAnsi="仿宋" w:eastAsia="仿宋" w:cs="仿宋"/>
          <w:color w:val="auto"/>
          <w:sz w:val="32"/>
          <w:szCs w:val="32"/>
        </w:rPr>
        <w:t>社区</w:t>
      </w:r>
      <w:r>
        <w:rPr>
          <w:rFonts w:ascii="仿宋" w:hAnsi="仿宋" w:eastAsia="仿宋" w:cs="仿宋"/>
          <w:color w:val="auto"/>
          <w:sz w:val="32"/>
          <w:szCs w:val="32"/>
        </w:rPr>
        <w:t>）</w:t>
      </w:r>
      <w:r>
        <w:rPr>
          <w:rFonts w:hint="eastAsia" w:ascii="仿宋" w:hAnsi="仿宋" w:eastAsia="仿宋" w:cs="仿宋"/>
          <w:color w:val="auto"/>
          <w:sz w:val="32"/>
          <w:szCs w:val="32"/>
        </w:rPr>
        <w:t>巡察常态化</w:t>
      </w:r>
      <w:r>
        <w:rPr>
          <w:rFonts w:ascii="仿宋" w:hAnsi="仿宋" w:eastAsia="仿宋" w:cs="仿宋"/>
          <w:color w:val="auto"/>
          <w:sz w:val="32"/>
          <w:szCs w:val="32"/>
        </w:rPr>
        <w:t>、</w:t>
      </w:r>
      <w:r>
        <w:rPr>
          <w:rFonts w:hint="eastAsia" w:ascii="仿宋" w:hAnsi="仿宋" w:eastAsia="仿宋" w:cs="仿宋"/>
          <w:color w:val="auto"/>
          <w:sz w:val="32"/>
          <w:szCs w:val="32"/>
        </w:rPr>
        <w:t>长效化</w:t>
      </w:r>
      <w:r>
        <w:rPr>
          <w:rFonts w:ascii="仿宋" w:hAnsi="仿宋" w:eastAsia="仿宋" w:cs="仿宋"/>
          <w:color w:val="auto"/>
          <w:sz w:val="32"/>
          <w:szCs w:val="32"/>
        </w:rPr>
        <w:t>，</w:t>
      </w:r>
      <w:r>
        <w:rPr>
          <w:rFonts w:hint="eastAsia" w:ascii="仿宋" w:hAnsi="仿宋" w:eastAsia="仿宋" w:cs="仿宋"/>
          <w:color w:val="auto"/>
          <w:sz w:val="32"/>
          <w:szCs w:val="32"/>
        </w:rPr>
        <w:t>促进基层有效治理</w:t>
      </w:r>
      <w:r>
        <w:rPr>
          <w:rFonts w:ascii="仿宋" w:hAnsi="仿宋" w:eastAsia="仿宋" w:cs="仿宋"/>
          <w:color w:val="auto"/>
          <w:sz w:val="32"/>
          <w:szCs w:val="32"/>
        </w:rPr>
        <w:t>。</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创新网格化社会治理机制</w:t>
      </w:r>
      <w:r>
        <w:rPr>
          <w:rFonts w:ascii="仿宋" w:hAnsi="仿宋" w:eastAsia="仿宋" w:cs="仿宋"/>
          <w:sz w:val="32"/>
          <w:szCs w:val="32"/>
        </w:rPr>
        <w:t>，在行政机关</w:t>
      </w:r>
      <w:r>
        <w:rPr>
          <w:rFonts w:hint="eastAsia" w:ascii="仿宋" w:hAnsi="仿宋" w:eastAsia="仿宋" w:cs="仿宋"/>
          <w:sz w:val="32"/>
          <w:szCs w:val="32"/>
        </w:rPr>
        <w:t>、</w:t>
      </w:r>
      <w:r>
        <w:rPr>
          <w:rFonts w:ascii="仿宋" w:hAnsi="仿宋" w:eastAsia="仿宋" w:cs="仿宋"/>
          <w:sz w:val="32"/>
          <w:szCs w:val="32"/>
        </w:rPr>
        <w:t>企事业单位等</w:t>
      </w:r>
      <w:r>
        <w:rPr>
          <w:rFonts w:hint="eastAsia" w:ascii="仿宋" w:hAnsi="仿宋" w:eastAsia="仿宋" w:cs="仿宋"/>
          <w:sz w:val="32"/>
          <w:szCs w:val="32"/>
        </w:rPr>
        <w:t>区域科学设定专属网格。市、县</w:t>
      </w:r>
      <w:r>
        <w:rPr>
          <w:rFonts w:hint="default" w:ascii="仿宋" w:hAnsi="仿宋" w:eastAsia="仿宋" w:cs="仿宋"/>
          <w:sz w:val="32"/>
          <w:szCs w:val="32"/>
        </w:rPr>
        <w:t>（</w:t>
      </w:r>
      <w:r>
        <w:rPr>
          <w:rFonts w:hint="eastAsia" w:ascii="仿宋" w:hAnsi="仿宋" w:eastAsia="仿宋" w:cs="仿宋"/>
          <w:sz w:val="32"/>
          <w:szCs w:val="32"/>
          <w:lang w:val="en-US" w:eastAsia="zh-Hans"/>
        </w:rPr>
        <w:t>市</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区</w:t>
      </w:r>
      <w:r>
        <w:rPr>
          <w:rFonts w:hint="default" w:ascii="仿宋" w:hAnsi="仿宋" w:eastAsia="仿宋" w:cs="仿宋"/>
          <w:sz w:val="32"/>
          <w:szCs w:val="32"/>
        </w:rPr>
        <w:t>）</w:t>
      </w:r>
      <w:r>
        <w:rPr>
          <w:rFonts w:hint="eastAsia" w:ascii="仿宋" w:hAnsi="仿宋" w:eastAsia="仿宋" w:cs="仿宋"/>
          <w:sz w:val="32"/>
          <w:szCs w:val="32"/>
        </w:rPr>
        <w:t>、乡</w:t>
      </w:r>
      <w:r>
        <w:rPr>
          <w:rFonts w:hint="eastAsia" w:ascii="仿宋" w:hAnsi="仿宋" w:eastAsia="仿宋" w:cs="仿宋"/>
          <w:sz w:val="32"/>
          <w:szCs w:val="32"/>
          <w:lang w:val="en-US" w:eastAsia="zh-Hans"/>
        </w:rPr>
        <w:t>镇</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街道</w:t>
      </w:r>
      <w:r>
        <w:rPr>
          <w:rFonts w:hint="default" w:ascii="仿宋" w:hAnsi="仿宋" w:eastAsia="仿宋" w:cs="仿宋"/>
          <w:sz w:val="32"/>
          <w:szCs w:val="32"/>
          <w:lang w:eastAsia="zh-Hans"/>
        </w:rPr>
        <w:t>）</w:t>
      </w:r>
      <w:r>
        <w:rPr>
          <w:rFonts w:hint="eastAsia" w:ascii="仿宋" w:hAnsi="仿宋" w:eastAsia="仿宋" w:cs="仿宋"/>
          <w:sz w:val="32"/>
          <w:szCs w:val="32"/>
        </w:rPr>
        <w:t>应建立社会治理综</w:t>
      </w:r>
      <w:r>
        <w:rPr>
          <w:rFonts w:ascii="仿宋" w:hAnsi="仿宋" w:eastAsia="仿宋" w:cs="仿宋"/>
          <w:sz w:val="32"/>
          <w:szCs w:val="32"/>
        </w:rPr>
        <w:t>合指挥系统、</w:t>
      </w:r>
      <w:r>
        <w:rPr>
          <w:rFonts w:hint="eastAsia" w:ascii="仿宋" w:hAnsi="仿宋" w:eastAsia="仿宋" w:cs="仿宋"/>
          <w:sz w:val="32"/>
          <w:szCs w:val="32"/>
        </w:rPr>
        <w:t>网格化服务管理平台，</w:t>
      </w:r>
      <w:r>
        <w:rPr>
          <w:rFonts w:ascii="仿宋" w:hAnsi="仿宋" w:eastAsia="仿宋" w:cs="仿宋"/>
          <w:sz w:val="32"/>
          <w:szCs w:val="32"/>
        </w:rPr>
        <w:t>统一网格数据采集系统，开展网格事项在线</w:t>
      </w:r>
      <w:r>
        <w:rPr>
          <w:rFonts w:hint="eastAsia" w:ascii="仿宋" w:hAnsi="仿宋" w:eastAsia="仿宋" w:cs="仿宋"/>
          <w:sz w:val="32"/>
          <w:szCs w:val="32"/>
        </w:rPr>
        <w:t>服务</w:t>
      </w:r>
      <w:r>
        <w:rPr>
          <w:rFonts w:ascii="仿宋" w:hAnsi="仿宋" w:eastAsia="仿宋" w:cs="仿宋"/>
          <w:sz w:val="32"/>
          <w:szCs w:val="32"/>
        </w:rPr>
        <w:t>、流转处置</w:t>
      </w:r>
      <w:r>
        <w:rPr>
          <w:rFonts w:hint="eastAsia" w:ascii="仿宋" w:hAnsi="仿宋" w:eastAsia="仿宋" w:cs="仿宋"/>
          <w:sz w:val="32"/>
          <w:szCs w:val="32"/>
        </w:rPr>
        <w:t>等社会治理工作。</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网格员应当落实信息采报，协助做好政策宣传、隐患排查、矛盾化解、治安防范、人口管理、心理疏导、便民服务及其他经批准可以开展的社会治理工作</w:t>
      </w:r>
      <w:r>
        <w:rPr>
          <w:rFonts w:ascii="仿宋" w:hAnsi="仿宋" w:eastAsia="仿宋" w:cs="仿宋"/>
          <w:sz w:val="32"/>
          <w:szCs w:val="32"/>
        </w:rPr>
        <w:t>。</w:t>
      </w:r>
    </w:p>
    <w:p>
      <w:pPr>
        <w:pStyle w:val="6"/>
        <w:numPr>
          <w:ilvl w:val="0"/>
          <w:numId w:val="3"/>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推进基层法治建设，完善基层公共法律服务体系，推进法官、检察官、人民警察、律师进</w:t>
      </w:r>
      <w:r>
        <w:rPr>
          <w:rFonts w:hint="eastAsia" w:ascii="仿宋" w:hAnsi="仿宋" w:eastAsia="仿宋" w:cs="仿宋"/>
          <w:sz w:val="32"/>
          <w:szCs w:val="32"/>
          <w:lang w:val="en-US" w:eastAsia="zh-Hans"/>
        </w:rPr>
        <w:t>村</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社区</w:t>
      </w:r>
      <w:r>
        <w:rPr>
          <w:rFonts w:hint="default" w:ascii="仿宋" w:hAnsi="仿宋" w:eastAsia="仿宋" w:cs="仿宋"/>
          <w:sz w:val="32"/>
          <w:szCs w:val="32"/>
          <w:lang w:eastAsia="zh-Hans"/>
        </w:rPr>
        <w:t>）</w:t>
      </w:r>
      <w:r>
        <w:rPr>
          <w:rFonts w:hint="eastAsia" w:ascii="仿宋" w:hAnsi="仿宋" w:eastAsia="仿宋" w:cs="仿宋"/>
          <w:sz w:val="32"/>
          <w:szCs w:val="32"/>
        </w:rPr>
        <w:t>，加强和规范基层公共法律服务工作。</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将物业企业纳入基层治理体系，发挥其在基层社会治理中的服务作用。</w:t>
      </w:r>
    </w:p>
    <w:p>
      <w:pPr>
        <w:widowControl/>
        <w:spacing w:line="262" w:lineRule="atLeast"/>
        <w:ind w:firstLine="640" w:firstLineChars="200"/>
        <w:jc w:val="left"/>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t>村（居）民委员会应当</w:t>
      </w:r>
      <w:r>
        <w:rPr>
          <w:rFonts w:hint="eastAsia" w:ascii="仿宋" w:hAnsi="仿宋" w:eastAsia="仿宋" w:cs="仿宋"/>
          <w:sz w:val="32"/>
          <w:szCs w:val="32"/>
        </w:rPr>
        <w:t>指导、监督业主委员会或者物业管理委员会、物业企业参与社区治理活动。业主委员会或者物业管理委员会、物业企业应当协助、配合做好社区建设工作。</w:t>
      </w:r>
    </w:p>
    <w:p>
      <w:pPr>
        <w:pStyle w:val="6"/>
        <w:numPr>
          <w:ilvl w:val="0"/>
          <w:numId w:val="3"/>
        </w:numPr>
        <w:spacing w:before="0" w:beforeAutospacing="0" w:after="0" w:afterAutospacing="0" w:line="640" w:lineRule="exact"/>
        <w:ind w:firstLine="640"/>
        <w:rPr>
          <w:rFonts w:ascii="仿宋" w:hAnsi="仿宋" w:eastAsia="仿宋" w:cs="仿宋"/>
          <w:sz w:val="32"/>
          <w:szCs w:val="32"/>
        </w:rPr>
      </w:pPr>
      <w:r>
        <w:rPr>
          <w:rFonts w:hint="eastAsia" w:ascii="仿宋" w:hAnsi="仿宋" w:eastAsia="仿宋" w:cs="仿宋"/>
          <w:sz w:val="32"/>
          <w:szCs w:val="32"/>
        </w:rPr>
        <w:t>加强对社会组织的培育、扶持、服务、监管，重点发展参与基层群众自治、平安建设、公共服务和为特定群体服务等专业型社区社会组织。</w:t>
      </w:r>
    </w:p>
    <w:p>
      <w:pPr>
        <w:pStyle w:val="6"/>
        <w:numPr>
          <w:ilvl w:val="0"/>
          <w:numId w:val="3"/>
        </w:num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培育和弘扬奉献、友爱、互助、进步的志愿精神，鼓励和支持志愿服务组织、志愿者在矛盾纠纷化解、治安防控、紧急救援、心理救助、社区服务等方面开展志愿服务。</w:t>
      </w:r>
    </w:p>
    <w:p>
      <w:pPr>
        <w:pStyle w:val="2"/>
        <w:spacing w:line="640" w:lineRule="exact"/>
        <w:jc w:val="center"/>
      </w:pPr>
      <w:bookmarkStart w:id="10" w:name="_Toc16834"/>
      <w:r>
        <w:rPr>
          <w:rFonts w:hint="eastAsia"/>
        </w:rPr>
        <w:t>第三章 促进措施</w:t>
      </w:r>
      <w:bookmarkEnd w:id="10"/>
    </w:p>
    <w:p>
      <w:pPr>
        <w:pStyle w:val="11"/>
        <w:widowControl/>
        <w:numPr>
          <w:ilvl w:val="0"/>
          <w:numId w:val="3"/>
        </w:numPr>
        <w:spacing w:line="640" w:lineRule="exact"/>
        <w:ind w:firstLine="640" w:firstLineChars="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市、县（市、区）人民政府应当逐步增加对社会治理工作的投入。科学制定采购预算并编制购买目录，通过公开招标等形式引导优质社会组织参与社会治理活动，促进社会治理服务的现代化。设立专项资金，对社会治理工作成绩突出的组织和个人，依法予以表彰奖励。</w:t>
      </w:r>
    </w:p>
    <w:p>
      <w:pPr>
        <w:pStyle w:val="11"/>
        <w:widowControl/>
        <w:numPr>
          <w:ilvl w:val="0"/>
          <w:numId w:val="3"/>
        </w:numPr>
        <w:spacing w:before="0" w:beforeAutospacing="0" w:after="0" w:afterAutospacing="0" w:line="640" w:lineRule="exact"/>
        <w:ind w:firstLine="640" w:firstLineChars="0"/>
        <w:jc w:val="left"/>
        <w:rPr>
          <w:rFonts w:ascii="仿宋" w:hAnsi="仿宋" w:eastAsia="仿宋" w:cs="仿宋"/>
          <w:sz w:val="32"/>
          <w:szCs w:val="32"/>
        </w:rPr>
      </w:pPr>
      <w:r>
        <w:rPr>
          <w:rFonts w:hint="eastAsia" w:ascii="仿宋" w:hAnsi="仿宋" w:eastAsia="仿宋" w:cs="仿宋"/>
          <w:sz w:val="32"/>
          <w:szCs w:val="32"/>
        </w:rPr>
        <w:t>市、县（市、区）人民政府应当加强市域社会治理智能化建设整体规划设计，统筹推进各类基础设施、系统平台和应用终端建设，将市域社会治理智能化建设纳入智慧城市建设总体布局。</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监察委员会、人民法院、人民检察院依法行使职权时，对存在社会治理隐患的单位，应当及时提出监察建议、司法建议、检察建议，有关单位针对建议应当及时进行</w:t>
      </w:r>
      <w:r>
        <w:rPr>
          <w:rFonts w:hint="eastAsia" w:ascii="仿宋" w:hAnsi="仿宋" w:eastAsia="仿宋" w:cs="仿宋"/>
          <w:sz w:val="32"/>
          <w:szCs w:val="32"/>
          <w:lang w:eastAsia="zh-CN"/>
        </w:rPr>
        <w:t>整改和</w:t>
      </w:r>
      <w:r>
        <w:rPr>
          <w:rFonts w:hint="eastAsia" w:ascii="仿宋" w:hAnsi="仿宋" w:eastAsia="仿宋" w:cs="仿宋"/>
          <w:sz w:val="32"/>
          <w:szCs w:val="32"/>
        </w:rPr>
        <w:t>反馈。</w:t>
      </w:r>
    </w:p>
    <w:p>
      <w:pPr>
        <w:pStyle w:val="6"/>
        <w:numPr>
          <w:ilvl w:val="0"/>
          <w:numId w:val="3"/>
        </w:numPr>
        <w:spacing w:before="0" w:beforeAutospacing="0" w:after="0" w:afterAutospacing="0" w:line="640" w:lineRule="exact"/>
        <w:ind w:firstLine="640"/>
        <w:rPr>
          <w:rFonts w:ascii="仿宋" w:hAnsi="仿宋" w:eastAsia="仿宋" w:cs="仿宋"/>
          <w:color w:val="333333"/>
          <w:kern w:val="0"/>
          <w:sz w:val="32"/>
          <w:szCs w:val="32"/>
        </w:rPr>
      </w:pPr>
      <w:r>
        <w:rPr>
          <w:rFonts w:hint="eastAsia" w:ascii="仿宋" w:hAnsi="仿宋" w:eastAsia="仿宋" w:cs="仿宋"/>
          <w:sz w:val="32"/>
          <w:szCs w:val="32"/>
        </w:rPr>
        <w:t>人民团体应当发挥联系人民群众的桥梁纽带作用，助推社会治理工作。工会应当推动建设企业集体协商机制，建立和谐劳动关系。共青团应当引导青年通过公益活动，参与乡村振兴、生态环境保护、社会治理创新等。妇联应当加强家庭家教家风建设，弘扬男女平等、崇德向善、孝老爱亲等良好社会风尚。</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完善社会规范建设，行业协会商会应当加强行业自律和行业信用管理，制定行业自律规范、职业道德准则、会员章程、职工守则等。</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村（居）民委员会应当依法建立完善居民公约、乡规民约、市民公约、业主公约等行为准则，促进自治、法治、德治相结合。</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各类市场主体应当履约践诺，诚实守信，自觉遵守行业信用规范，主动参与社会治理，履行社会责任。</w:t>
      </w:r>
    </w:p>
    <w:p>
      <w:pPr>
        <w:pStyle w:val="6"/>
        <w:numPr>
          <w:ilvl w:val="0"/>
          <w:numId w:val="3"/>
        </w:numPr>
        <w:spacing w:before="0" w:beforeAutospacing="0" w:after="0" w:afterAutospacing="0" w:line="640" w:lineRule="exact"/>
        <w:ind w:firstLine="640"/>
        <w:rPr>
          <w:rFonts w:ascii="仿宋" w:hAnsi="仿宋" w:eastAsia="仿宋" w:cs="仿宋"/>
          <w:sz w:val="32"/>
          <w:szCs w:val="32"/>
        </w:rPr>
      </w:pPr>
      <w:r>
        <w:rPr>
          <w:rFonts w:hint="eastAsia" w:ascii="仿宋" w:hAnsi="仿宋" w:eastAsia="仿宋" w:cs="仿宋"/>
          <w:sz w:val="32"/>
          <w:szCs w:val="32"/>
        </w:rPr>
        <w:t>加强社会治理</w:t>
      </w:r>
      <w:r>
        <w:rPr>
          <w:rFonts w:ascii="仿宋" w:hAnsi="仿宋" w:eastAsia="仿宋" w:cs="仿宋"/>
          <w:sz w:val="32"/>
          <w:szCs w:val="32"/>
        </w:rPr>
        <w:t>工作者队伍</w:t>
      </w:r>
      <w:r>
        <w:rPr>
          <w:rFonts w:hint="eastAsia" w:ascii="仿宋" w:hAnsi="仿宋" w:eastAsia="仿宋" w:cs="仿宋"/>
          <w:sz w:val="32"/>
          <w:szCs w:val="32"/>
        </w:rPr>
        <w:t>建设，</w:t>
      </w:r>
      <w:r>
        <w:rPr>
          <w:rFonts w:ascii="仿宋" w:hAnsi="仿宋" w:eastAsia="仿宋" w:cs="仿宋"/>
          <w:sz w:val="32"/>
          <w:szCs w:val="32"/>
        </w:rPr>
        <w:t>完善社区工作者薪酬保障机制</w:t>
      </w:r>
      <w:r>
        <w:rPr>
          <w:rFonts w:hint="eastAsia" w:ascii="仿宋" w:hAnsi="仿宋" w:eastAsia="仿宋" w:cs="仿宋"/>
          <w:sz w:val="32"/>
          <w:szCs w:val="32"/>
        </w:rPr>
        <w:t>和考核办法，加大从优秀基层党组织书记、居委会成员以及社区专职工作人员中考录公务员和选任街道（镇）机关、事业单位领导干部力度，引导高校毕业生等从事社区工作</w:t>
      </w:r>
      <w:r>
        <w:rPr>
          <w:rFonts w:ascii="仿宋" w:hAnsi="仿宋" w:eastAsia="仿宋" w:cs="仿宋"/>
          <w:sz w:val="32"/>
          <w:szCs w:val="32"/>
        </w:rPr>
        <w:t>。</w:t>
      </w:r>
    </w:p>
    <w:p>
      <w:pPr>
        <w:pStyle w:val="6"/>
        <w:numPr>
          <w:ilvl w:val="0"/>
          <w:numId w:val="0"/>
        </w:numPr>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加强网格员队伍建设</w:t>
      </w:r>
      <w:r>
        <w:rPr>
          <w:rFonts w:ascii="仿宋" w:hAnsi="仿宋" w:eastAsia="仿宋" w:cs="仿宋"/>
          <w:sz w:val="32"/>
          <w:szCs w:val="32"/>
        </w:rPr>
        <w:t>，</w:t>
      </w:r>
      <w:r>
        <w:rPr>
          <w:rFonts w:hint="eastAsia" w:ascii="仿宋" w:hAnsi="仿宋" w:eastAsia="仿宋" w:cs="仿宋"/>
          <w:sz w:val="32"/>
          <w:szCs w:val="32"/>
        </w:rPr>
        <w:t>健全专职网格员队伍</w:t>
      </w:r>
      <w:r>
        <w:rPr>
          <w:rFonts w:ascii="仿宋" w:hAnsi="仿宋" w:eastAsia="仿宋" w:cs="仿宋"/>
          <w:sz w:val="32"/>
          <w:szCs w:val="32"/>
        </w:rPr>
        <w:t>，</w:t>
      </w:r>
      <w:r>
        <w:rPr>
          <w:rFonts w:hint="eastAsia" w:ascii="仿宋" w:hAnsi="仿宋" w:eastAsia="仿宋" w:cs="仿宋"/>
          <w:sz w:val="32"/>
          <w:szCs w:val="32"/>
        </w:rPr>
        <w:t>积极发展兼职网格员</w:t>
      </w:r>
      <w:r>
        <w:rPr>
          <w:rFonts w:ascii="仿宋" w:hAnsi="仿宋" w:eastAsia="仿宋" w:cs="仿宋"/>
          <w:sz w:val="32"/>
          <w:szCs w:val="32"/>
        </w:rPr>
        <w:t>，</w:t>
      </w:r>
      <w:r>
        <w:rPr>
          <w:rFonts w:hint="eastAsia" w:ascii="仿宋" w:hAnsi="仿宋" w:eastAsia="仿宋" w:cs="仿宋"/>
          <w:sz w:val="32"/>
          <w:szCs w:val="32"/>
        </w:rPr>
        <w:t>完善网格员教育培训</w:t>
      </w:r>
      <w:r>
        <w:rPr>
          <w:rFonts w:ascii="仿宋" w:hAnsi="仿宋" w:eastAsia="仿宋" w:cs="仿宋"/>
          <w:sz w:val="32"/>
          <w:szCs w:val="32"/>
        </w:rPr>
        <w:t>、</w:t>
      </w:r>
      <w:r>
        <w:rPr>
          <w:rFonts w:hint="eastAsia" w:ascii="仿宋" w:hAnsi="仿宋" w:eastAsia="仿宋" w:cs="仿宋"/>
          <w:sz w:val="32"/>
          <w:szCs w:val="32"/>
        </w:rPr>
        <w:t>上岗公示</w:t>
      </w:r>
      <w:r>
        <w:rPr>
          <w:rFonts w:ascii="仿宋" w:hAnsi="仿宋" w:eastAsia="仿宋" w:cs="仿宋"/>
          <w:sz w:val="32"/>
          <w:szCs w:val="32"/>
        </w:rPr>
        <w:t>、</w:t>
      </w:r>
      <w:r>
        <w:rPr>
          <w:rFonts w:hint="eastAsia" w:ascii="仿宋" w:hAnsi="仿宋" w:eastAsia="仿宋" w:cs="仿宋"/>
          <w:sz w:val="32"/>
          <w:szCs w:val="32"/>
        </w:rPr>
        <w:t>巡查走访</w:t>
      </w:r>
      <w:r>
        <w:rPr>
          <w:rFonts w:ascii="仿宋" w:hAnsi="仿宋" w:eastAsia="仿宋" w:cs="仿宋"/>
          <w:sz w:val="32"/>
          <w:szCs w:val="32"/>
        </w:rPr>
        <w:t>、</w:t>
      </w:r>
      <w:r>
        <w:rPr>
          <w:rFonts w:hint="eastAsia" w:ascii="仿宋" w:hAnsi="仿宋" w:eastAsia="仿宋" w:cs="仿宋"/>
          <w:sz w:val="32"/>
          <w:szCs w:val="32"/>
        </w:rPr>
        <w:t>情况报告</w:t>
      </w:r>
      <w:r>
        <w:rPr>
          <w:rFonts w:ascii="仿宋" w:hAnsi="仿宋" w:eastAsia="仿宋" w:cs="仿宋"/>
          <w:sz w:val="32"/>
          <w:szCs w:val="32"/>
        </w:rPr>
        <w:t>、</w:t>
      </w:r>
      <w:r>
        <w:rPr>
          <w:rFonts w:hint="eastAsia" w:ascii="仿宋" w:hAnsi="仿宋" w:eastAsia="仿宋" w:cs="仿宋"/>
          <w:sz w:val="32"/>
          <w:szCs w:val="32"/>
        </w:rPr>
        <w:t>考核奖励和激励保障制度</w:t>
      </w:r>
      <w:r>
        <w:rPr>
          <w:rFonts w:ascii="仿宋" w:hAnsi="仿宋" w:eastAsia="仿宋" w:cs="仿宋"/>
          <w:sz w:val="32"/>
          <w:szCs w:val="32"/>
        </w:rPr>
        <w:t>。</w:t>
      </w:r>
    </w:p>
    <w:p>
      <w:pPr>
        <w:pStyle w:val="6"/>
        <w:spacing w:before="0" w:beforeAutospacing="0" w:after="0" w:afterAutospacing="0" w:line="640" w:lineRule="exact"/>
        <w:ind w:firstLine="640" w:firstLineChars="200"/>
        <w:rPr>
          <w:rFonts w:ascii="仿宋" w:hAnsi="仿宋" w:eastAsia="仿宋" w:cs="仿宋"/>
          <w:sz w:val="32"/>
          <w:szCs w:val="32"/>
        </w:rPr>
      </w:pPr>
      <w:r>
        <w:rPr>
          <w:rFonts w:ascii="仿宋" w:hAnsi="仿宋" w:eastAsia="仿宋" w:cs="仿宋"/>
          <w:sz w:val="32"/>
          <w:szCs w:val="32"/>
        </w:rPr>
        <w:t>培育社会工作者队伍</w:t>
      </w:r>
      <w:r>
        <w:rPr>
          <w:rFonts w:hint="eastAsia" w:ascii="仿宋" w:hAnsi="仿宋" w:eastAsia="仿宋" w:cs="仿宋"/>
          <w:sz w:val="32"/>
          <w:szCs w:val="32"/>
        </w:rPr>
        <w:t>，鼓励</w:t>
      </w:r>
      <w:r>
        <w:rPr>
          <w:rFonts w:ascii="仿宋" w:hAnsi="仿宋" w:eastAsia="仿宋" w:cs="仿宋"/>
          <w:sz w:val="32"/>
          <w:szCs w:val="32"/>
        </w:rPr>
        <w:t>支持社会工作者参加多层次、多领域、多形式的社会工作</w:t>
      </w:r>
      <w:r>
        <w:rPr>
          <w:rFonts w:hint="eastAsia" w:ascii="仿宋" w:hAnsi="仿宋" w:eastAsia="仿宋" w:cs="仿宋"/>
          <w:sz w:val="32"/>
          <w:szCs w:val="32"/>
        </w:rPr>
        <w:t>，</w:t>
      </w:r>
      <w:r>
        <w:rPr>
          <w:rFonts w:ascii="仿宋" w:hAnsi="仿宋" w:eastAsia="仿宋" w:cs="仿宋"/>
          <w:sz w:val="32"/>
          <w:szCs w:val="32"/>
        </w:rPr>
        <w:t>逐步建立符合</w:t>
      </w:r>
      <w:r>
        <w:rPr>
          <w:rFonts w:hint="eastAsia" w:ascii="仿宋" w:hAnsi="仿宋" w:eastAsia="仿宋" w:cs="仿宋"/>
          <w:sz w:val="32"/>
          <w:szCs w:val="32"/>
        </w:rPr>
        <w:t>本市</w:t>
      </w:r>
      <w:r>
        <w:rPr>
          <w:rFonts w:ascii="仿宋" w:hAnsi="仿宋" w:eastAsia="仿宋" w:cs="仿宋"/>
          <w:sz w:val="32"/>
          <w:szCs w:val="32"/>
        </w:rPr>
        <w:t>实际、贴近群众需求、科学合理的社会工作岗位配置体系。</w:t>
      </w:r>
    </w:p>
    <w:p>
      <w:pPr>
        <w:pStyle w:val="6"/>
        <w:spacing w:before="0" w:beforeAutospacing="0" w:after="0" w:afterAutospacing="0" w:line="640" w:lineRule="exact"/>
        <w:ind w:firstLine="640" w:firstLineChars="200"/>
        <w:rPr>
          <w:rFonts w:ascii="仿宋" w:hAnsi="仿宋" w:eastAsia="仿宋" w:cs="仿宋"/>
          <w:sz w:val="32"/>
          <w:szCs w:val="32"/>
        </w:rPr>
      </w:pPr>
      <w:r>
        <w:rPr>
          <w:rFonts w:ascii="仿宋" w:hAnsi="仿宋" w:eastAsia="仿宋" w:cs="仿宋"/>
          <w:sz w:val="32"/>
          <w:szCs w:val="32"/>
        </w:rPr>
        <w:t>发展志愿者队伍</w:t>
      </w:r>
      <w:r>
        <w:rPr>
          <w:rFonts w:hint="eastAsia" w:ascii="仿宋" w:hAnsi="仿宋" w:eastAsia="仿宋" w:cs="仿宋"/>
          <w:sz w:val="32"/>
          <w:szCs w:val="32"/>
        </w:rPr>
        <w:t>，</w:t>
      </w:r>
      <w:r>
        <w:rPr>
          <w:rFonts w:ascii="仿宋" w:hAnsi="仿宋" w:eastAsia="仿宋" w:cs="仿宋"/>
          <w:sz w:val="32"/>
          <w:szCs w:val="32"/>
        </w:rPr>
        <w:t>建立健全志愿者培训、使用、考核、激励机制。按照</w:t>
      </w:r>
      <w:r>
        <w:rPr>
          <w:rFonts w:hint="eastAsia" w:ascii="仿宋" w:hAnsi="仿宋" w:eastAsia="仿宋" w:cs="仿宋"/>
          <w:sz w:val="32"/>
          <w:szCs w:val="32"/>
        </w:rPr>
        <w:t>社会治理</w:t>
      </w:r>
      <w:r>
        <w:rPr>
          <w:rFonts w:ascii="仿宋" w:hAnsi="仿宋" w:eastAsia="仿宋" w:cs="仿宋"/>
          <w:sz w:val="32"/>
          <w:szCs w:val="32"/>
        </w:rPr>
        <w:t>志愿者的特长组建多类型、多层次的社区志愿者队伍，形成功能齐全、方便快捷的</w:t>
      </w:r>
      <w:r>
        <w:rPr>
          <w:rFonts w:hint="eastAsia" w:ascii="仿宋" w:hAnsi="仿宋" w:eastAsia="仿宋" w:cs="仿宋"/>
          <w:sz w:val="32"/>
          <w:szCs w:val="32"/>
        </w:rPr>
        <w:t>社会治理</w:t>
      </w:r>
      <w:r>
        <w:rPr>
          <w:rFonts w:ascii="仿宋" w:hAnsi="仿宋" w:eastAsia="仿宋" w:cs="仿宋"/>
          <w:sz w:val="32"/>
          <w:szCs w:val="32"/>
        </w:rPr>
        <w:t>志愿服务网络。</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加强市域社会治理现代化研究会、智囊团建设，加强与高等院校和科研机构合作，开展理论研究、人才培养等工作，促进研究成果转化运用，为推进市域社会治理现代化提供智力支持。</w:t>
      </w:r>
    </w:p>
    <w:p>
      <w:pPr>
        <w:pStyle w:val="2"/>
        <w:spacing w:line="640" w:lineRule="exact"/>
        <w:jc w:val="center"/>
        <w:rPr>
          <w:rFonts w:hint="eastAsia"/>
        </w:rPr>
      </w:pPr>
      <w:bookmarkStart w:id="11" w:name="_Toc16744"/>
      <w:r>
        <w:rPr>
          <w:rFonts w:hint="eastAsia"/>
        </w:rPr>
        <w:t>第四章 监管与法律责任</w:t>
      </w:r>
      <w:bookmarkEnd w:id="11"/>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按照属地管理、谁主管谁负责的原则，加强对社会治理工作的监督管理，建立市域社会治理考评指标体系。</w:t>
      </w:r>
    </w:p>
    <w:p>
      <w:pPr>
        <w:pStyle w:val="6"/>
        <w:spacing w:before="0" w:beforeAutospacing="0" w:after="0" w:afterAutospacing="0" w:line="640" w:lineRule="exact"/>
        <w:ind w:firstLine="640" w:firstLineChars="200"/>
        <w:rPr>
          <w:rFonts w:ascii="仿宋" w:hAnsi="仿宋" w:eastAsia="仿宋" w:cs="仿宋"/>
          <w:sz w:val="32"/>
          <w:szCs w:val="32"/>
        </w:rPr>
      </w:pPr>
      <w:r>
        <w:rPr>
          <w:rFonts w:hint="eastAsia" w:ascii="仿宋" w:hAnsi="仿宋" w:eastAsia="仿宋" w:cs="仿宋"/>
          <w:sz w:val="32"/>
          <w:szCs w:val="32"/>
        </w:rPr>
        <w:t>加强对本市社会治理工作的督促检查，对未履行社会治理相关职责或者社会治理工作不力的，上级人民政府或者本级人民政府有关部门应当对主要负责人采取通报、约谈、挂牌督办等措施，约谈、挂牌督办、整改情况应当纳入工作评议、考核记录。</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行业主管部门、乡镇（街道）应当加强对社会规范制定和实施情况的监督。</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社会治理工作应当听取民主党派、工商联、无党派人士和各人民团体的意见，主动接受新闻媒体的舆论监督和公众的社会监督。</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在社会治理工作中玩忽职守、滥用职权、徇私舞弊、弄虚作假，造成不良后果或者影响的，由监察委员会或者其他有权单位依法对有关人员给予政务处分</w:t>
      </w:r>
      <w:r>
        <w:rPr>
          <w:rFonts w:hint="default" w:ascii="仿宋" w:hAnsi="仿宋" w:eastAsia="仿宋" w:cs="仿宋"/>
          <w:sz w:val="32"/>
          <w:szCs w:val="32"/>
        </w:rPr>
        <w:t>、</w:t>
      </w:r>
      <w:r>
        <w:rPr>
          <w:rFonts w:hint="eastAsia" w:ascii="仿宋" w:hAnsi="仿宋" w:eastAsia="仿宋" w:cs="仿宋"/>
          <w:sz w:val="32"/>
          <w:szCs w:val="32"/>
          <w:lang w:val="en-US" w:eastAsia="zh-Hans"/>
        </w:rPr>
        <w:t>处分</w:t>
      </w:r>
      <w:r>
        <w:rPr>
          <w:rFonts w:hint="eastAsia" w:ascii="仿宋" w:hAnsi="仿宋" w:eastAsia="仿宋" w:cs="仿宋"/>
          <w:sz w:val="32"/>
          <w:szCs w:val="32"/>
        </w:rPr>
        <w:t>；构成犯罪的，依法追究刑事责任。</w:t>
      </w:r>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违反本条例规定的行为，法律法规已有法律责任规定的，从其规定。</w:t>
      </w:r>
    </w:p>
    <w:p>
      <w:pPr>
        <w:pStyle w:val="2"/>
        <w:jc w:val="center"/>
      </w:pPr>
      <w:bookmarkStart w:id="12" w:name="_Toc260"/>
      <w:r>
        <w:rPr>
          <w:rFonts w:hint="eastAsia"/>
          <w:b/>
          <w:kern w:val="44"/>
          <w:sz w:val="44"/>
        </w:rPr>
        <w:t>第</w:t>
      </w:r>
      <w:r>
        <w:rPr>
          <w:rFonts w:hint="eastAsia"/>
        </w:rPr>
        <w:t>五</w:t>
      </w:r>
      <w:r>
        <w:rPr>
          <w:rFonts w:hint="eastAsia"/>
          <w:b/>
          <w:kern w:val="44"/>
          <w:sz w:val="44"/>
        </w:rPr>
        <w:t>章</w:t>
      </w:r>
      <w:r>
        <w:rPr>
          <w:b/>
          <w:kern w:val="44"/>
          <w:sz w:val="44"/>
        </w:rPr>
        <w:t xml:space="preserve"> </w:t>
      </w:r>
      <w:r>
        <w:rPr>
          <w:rFonts w:hint="eastAsia"/>
          <w:b/>
          <w:kern w:val="44"/>
          <w:sz w:val="44"/>
        </w:rPr>
        <w:t>附</w:t>
      </w:r>
      <w:r>
        <w:rPr>
          <w:rFonts w:hint="eastAsia"/>
          <w:b/>
          <w:kern w:val="44"/>
          <w:sz w:val="44"/>
          <w:lang w:val="en-US" w:eastAsia="zh-CN"/>
        </w:rPr>
        <w:t xml:space="preserve">  </w:t>
      </w:r>
      <w:r>
        <w:rPr>
          <w:rFonts w:hint="eastAsia"/>
          <w:b/>
          <w:kern w:val="44"/>
          <w:sz w:val="44"/>
        </w:rPr>
        <w:t>则</w:t>
      </w:r>
      <w:bookmarkEnd w:id="12"/>
    </w:p>
    <w:p>
      <w:pPr>
        <w:pStyle w:val="6"/>
        <w:numPr>
          <w:ilvl w:val="0"/>
          <w:numId w:val="3"/>
        </w:numPr>
        <w:spacing w:before="0" w:beforeAutospacing="0" w:after="0" w:afterAutospacing="0" w:line="640" w:lineRule="exact"/>
        <w:ind w:firstLine="640"/>
        <w:rPr>
          <w:rFonts w:hint="eastAsia" w:ascii="仿宋" w:hAnsi="仿宋" w:eastAsia="仿宋" w:cs="仿宋"/>
          <w:sz w:val="32"/>
          <w:szCs w:val="32"/>
        </w:rPr>
      </w:pPr>
      <w:r>
        <w:rPr>
          <w:rFonts w:hint="eastAsia" w:ascii="仿宋" w:hAnsi="仿宋" w:eastAsia="仿宋" w:cs="仿宋"/>
          <w:sz w:val="32"/>
          <w:szCs w:val="32"/>
        </w:rPr>
        <w:t>本条例自    年  月  日起施行。</w:t>
      </w:r>
    </w:p>
    <w:p>
      <w:pPr>
        <w:pStyle w:val="6"/>
        <w:tabs>
          <w:tab w:val="left" w:pos="2115"/>
        </w:tabs>
        <w:wordWrap w:val="0"/>
        <w:spacing w:before="0" w:beforeAutospacing="0" w:after="0" w:afterAutospacing="0" w:line="640" w:lineRule="exact"/>
        <w:ind w:firstLine="640" w:firstLineChars="200"/>
        <w:jc w:val="right"/>
        <w:rPr>
          <w:rFonts w:ascii="仿宋" w:hAnsi="仿宋" w:eastAsia="仿宋" w:cs="仿宋"/>
          <w:sz w:val="32"/>
          <w:szCs w:val="32"/>
        </w:rPr>
      </w:pPr>
    </w:p>
    <w:p/>
    <w:p>
      <w:pPr>
        <w:pStyle w:val="6"/>
        <w:spacing w:before="0" w:beforeAutospacing="0" w:after="0" w:afterAutospacing="0" w:line="640" w:lineRule="exact"/>
        <w:ind w:firstLine="420" w:firstLineChars="200"/>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FreeSerif">
    <w:altName w:val="苹方-简"/>
    <w:panose1 w:val="02020603050405020304"/>
    <w:charset w:val="00"/>
    <w:family w:val="auto"/>
    <w:pitch w:val="default"/>
    <w:sig w:usb0="00000000" w:usb1="00000000" w:usb2="43501B29" w:usb3="04000043" w:csb0="600101FF" w:csb1="FFFF0000"/>
  </w:font>
  <w:font w:name="Nimbus Roman No9 L">
    <w:altName w:val="苹方-简"/>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PingFang SC">
    <w:panose1 w:val="020B0400000000000000"/>
    <w:charset w:val="86"/>
    <w:family w:val="auto"/>
    <w:pitch w:val="default"/>
    <w:sig w:usb0="A00002FF" w:usb1="7ACFFDFB" w:usb2="00000017" w:usb3="00000000" w:csb0="00040001" w:csb1="00000000"/>
  </w:font>
  <w:font w:name="Helvetica Neue Bold">
    <w:panose1 w:val="02000503000000020004"/>
    <w:charset w:val="00"/>
    <w:family w:val="auto"/>
    <w:pitch w:val="default"/>
    <w:sig w:usb0="E50002FF" w:usb1="500079DB" w:usb2="0000001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Calibri Light">
    <w:altName w:val="Helvetica Neu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MjGflsaAgAAI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5FC71"/>
    <w:multiLevelType w:val="singleLevel"/>
    <w:tmpl w:val="A7F5FC71"/>
    <w:lvl w:ilvl="0" w:tentative="0">
      <w:start w:val="4"/>
      <w:numFmt w:val="chineseCounting"/>
      <w:suff w:val="space"/>
      <w:lvlText w:val="第%1节"/>
      <w:lvlJc w:val="left"/>
      <w:rPr>
        <w:rFonts w:hint="eastAsia"/>
      </w:rPr>
    </w:lvl>
  </w:abstractNum>
  <w:abstractNum w:abstractNumId="1">
    <w:nsid w:val="FDFC7E4A"/>
    <w:multiLevelType w:val="singleLevel"/>
    <w:tmpl w:val="FDFC7E4A"/>
    <w:lvl w:ilvl="0" w:tentative="0">
      <w:start w:val="3"/>
      <w:numFmt w:val="chineseCounting"/>
      <w:suff w:val="space"/>
      <w:lvlText w:val="第%1章"/>
      <w:lvlJc w:val="left"/>
      <w:rPr>
        <w:rFonts w:hint="eastAsia"/>
      </w:rPr>
    </w:lvl>
  </w:abstractNum>
  <w:abstractNum w:abstractNumId="2">
    <w:nsid w:val="608060C7"/>
    <w:multiLevelType w:val="singleLevel"/>
    <w:tmpl w:val="608060C7"/>
    <w:lvl w:ilvl="0" w:tentative="0">
      <w:start w:val="1"/>
      <w:numFmt w:val="chineseCounting"/>
      <w:suff w:val="space"/>
      <w:lvlText w:val="第%1条"/>
      <w:lvlJc w:val="left"/>
      <w:rPr>
        <w:rFonts w:hint="eastAsia"/>
        <w:sz w:val="32"/>
        <w:szCs w:val="32"/>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BB4728"/>
    <w:rsid w:val="63ECEC37"/>
    <w:rsid w:val="7FFC08BA"/>
    <w:rsid w:val="B5FF1523"/>
    <w:rsid w:val="DEBB4728"/>
    <w:rsid w:val="F9FEE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pPr>
    <w:rPr>
      <w:sz w:val="18"/>
      <w:szCs w:val="18"/>
    </w:rPr>
  </w:style>
  <w:style w:type="paragraph" w:styleId="6">
    <w:name w:val="Normal (Web)"/>
    <w:basedOn w:val="1"/>
    <w:qFormat/>
    <w:uiPriority w:val="0"/>
    <w:pPr>
      <w:spacing w:before="100" w:beforeAutospacing="1" w:after="100" w:afterAutospacing="1"/>
    </w:pPr>
  </w:style>
  <w:style w:type="paragraph" w:customStyle="1" w:styleId="9">
    <w:name w:val="WPSOffice手动目录 1"/>
    <w:qFormat/>
    <w:uiPriority w:val="0"/>
    <w:rPr>
      <w:rFonts w:asciiTheme="minorHAnsi" w:hAnsiTheme="minorHAnsi" w:eastAsiaTheme="minorEastAsia" w:cstheme="minorBidi"/>
      <w:sz w:val="21"/>
      <w:szCs w:val="22"/>
      <w:lang w:val="en-US" w:eastAsia="zh-CN" w:bidi="ar-SA"/>
    </w:rPr>
  </w:style>
  <w:style w:type="paragraph" w:customStyle="1" w:styleId="10">
    <w:name w:val="TOC 标题1"/>
    <w:basedOn w:val="2"/>
    <w:next w:val="1"/>
    <w:unhideWhenUsed/>
    <w:qFormat/>
    <w:uiPriority w:val="39"/>
    <w:pPr>
      <w:spacing w:before="480" w:after="0" w:line="276" w:lineRule="auto"/>
      <w:outlineLvl w:val="9"/>
    </w:pPr>
    <w:rPr>
      <w:rFonts w:asciiTheme="majorHAnsi" w:hAnsiTheme="majorHAnsi" w:eastAsiaTheme="majorEastAsia" w:cstheme="majorBidi"/>
      <w:bCs/>
      <w:color w:val="2E75B6" w:themeColor="accent1" w:themeShade="BF"/>
      <w:kern w:val="0"/>
      <w:sz w:val="28"/>
      <w:szCs w:val="28"/>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2022-01-14T19:43:00Z</dcterms:created>
  <dc:creator>kaixinguo</dc:creator>
  <cp:lastModifiedBy>dunxinyu</cp:lastModifiedBy>
  <dcterms:modified xsi:type="dcterms:W3CDTF">2022-01-13T15:56:44Z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