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C60002"/>
          <w:spacing w:val="0"/>
          <w:sz w:val="36"/>
          <w:szCs w:val="36"/>
        </w:rPr>
        <w:t>关于发布《危险废物排除管理清单（2021年版）》的公告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40" w:firstLineChars="200"/>
        <w:rPr>
          <w:sz w:val="27"/>
          <w:szCs w:val="27"/>
        </w:rPr>
      </w:pPr>
      <w:r>
        <w:rPr>
          <w:rFonts w:hint="eastAsia" w:ascii="微软雅黑" w:hAnsi="微软雅黑" w:eastAsia="微软雅黑" w:cs="微软雅黑"/>
          <w:i w:val="0"/>
          <w:iCs w:val="0"/>
          <w:caps w:val="0"/>
          <w:color w:val="000000"/>
          <w:spacing w:val="0"/>
          <w:sz w:val="27"/>
          <w:szCs w:val="27"/>
        </w:rPr>
        <w:t>为贯彻落实《</w:t>
      </w:r>
      <w:r>
        <w:rPr>
          <w:rFonts w:hint="eastAsia" w:ascii="微软雅黑" w:hAnsi="微软雅黑" w:eastAsia="微软雅黑" w:cs="微软雅黑"/>
          <w:i w:val="0"/>
          <w:iCs w:val="0"/>
          <w:caps w:val="0"/>
          <w:color w:val="551A8B"/>
          <w:spacing w:val="0"/>
          <w:sz w:val="27"/>
          <w:szCs w:val="27"/>
          <w:u w:val="none"/>
        </w:rPr>
        <w:fldChar w:fldCharType="begin"/>
      </w:r>
      <w:r>
        <w:rPr>
          <w:rFonts w:hint="eastAsia" w:ascii="微软雅黑" w:hAnsi="微软雅黑" w:eastAsia="微软雅黑" w:cs="微软雅黑"/>
          <w:i w:val="0"/>
          <w:iCs w:val="0"/>
          <w:caps w:val="0"/>
          <w:color w:val="551A8B"/>
          <w:spacing w:val="0"/>
          <w:sz w:val="27"/>
          <w:szCs w:val="27"/>
          <w:u w:val="none"/>
        </w:rPr>
        <w:instrText xml:space="preserve"> HYPERLINK "http://www.mee.gov.cn/ywgz/fgbz/fl/202004/t20200430_777580.shtml" </w:instrText>
      </w:r>
      <w:r>
        <w:rPr>
          <w:rFonts w:hint="eastAsia" w:ascii="微软雅黑" w:hAnsi="微软雅黑" w:eastAsia="微软雅黑" w:cs="微软雅黑"/>
          <w:i w:val="0"/>
          <w:iCs w:val="0"/>
          <w:caps w:val="0"/>
          <w:color w:val="551A8B"/>
          <w:spacing w:val="0"/>
          <w:sz w:val="27"/>
          <w:szCs w:val="27"/>
          <w:u w:val="none"/>
        </w:rPr>
        <w:fldChar w:fldCharType="separate"/>
      </w:r>
      <w:r>
        <w:rPr>
          <w:rStyle w:val="6"/>
          <w:rFonts w:hint="eastAsia" w:ascii="微软雅黑" w:hAnsi="微软雅黑" w:eastAsia="微软雅黑" w:cs="微软雅黑"/>
          <w:i w:val="0"/>
          <w:iCs w:val="0"/>
          <w:caps w:val="0"/>
          <w:color w:val="551A8B"/>
          <w:spacing w:val="0"/>
          <w:sz w:val="27"/>
          <w:szCs w:val="27"/>
          <w:u w:val="none"/>
        </w:rPr>
        <w:t>中华人民共和国固体废物污染环境防治法</w:t>
      </w:r>
      <w:r>
        <w:rPr>
          <w:rFonts w:hint="eastAsia" w:ascii="微软雅黑" w:hAnsi="微软雅黑" w:eastAsia="微软雅黑" w:cs="微软雅黑"/>
          <w:i w:val="0"/>
          <w:iCs w:val="0"/>
          <w:caps w:val="0"/>
          <w:color w:val="551A8B"/>
          <w:spacing w:val="0"/>
          <w:sz w:val="27"/>
          <w:szCs w:val="27"/>
          <w:u w:val="none"/>
        </w:rPr>
        <w:fldChar w:fldCharType="end"/>
      </w:r>
      <w:r>
        <w:rPr>
          <w:rFonts w:hint="eastAsia" w:ascii="微软雅黑" w:hAnsi="微软雅黑" w:eastAsia="微软雅黑" w:cs="微软雅黑"/>
          <w:i w:val="0"/>
          <w:iCs w:val="0"/>
          <w:caps w:val="0"/>
          <w:color w:val="000000"/>
          <w:spacing w:val="0"/>
          <w:sz w:val="27"/>
          <w:szCs w:val="27"/>
        </w:rPr>
        <w:t>》，按照《</w:t>
      </w:r>
      <w:r>
        <w:rPr>
          <w:rFonts w:hint="eastAsia" w:ascii="微软雅黑" w:hAnsi="微软雅黑" w:eastAsia="微软雅黑" w:cs="微软雅黑"/>
          <w:i w:val="0"/>
          <w:iCs w:val="0"/>
          <w:caps w:val="0"/>
          <w:color w:val="551A8B"/>
          <w:spacing w:val="0"/>
          <w:sz w:val="27"/>
          <w:szCs w:val="27"/>
          <w:u w:val="none"/>
        </w:rPr>
        <w:fldChar w:fldCharType="begin"/>
      </w:r>
      <w:r>
        <w:rPr>
          <w:rFonts w:hint="eastAsia" w:ascii="微软雅黑" w:hAnsi="微软雅黑" w:eastAsia="微软雅黑" w:cs="微软雅黑"/>
          <w:i w:val="0"/>
          <w:iCs w:val="0"/>
          <w:caps w:val="0"/>
          <w:color w:val="551A8B"/>
          <w:spacing w:val="0"/>
          <w:sz w:val="27"/>
          <w:szCs w:val="27"/>
          <w:u w:val="none"/>
        </w:rPr>
        <w:instrText xml:space="preserve"> HYPERLINK "http://www.mee.gov.cn/zcwj/gwywj/202105/t20210525_834448.shtml" </w:instrText>
      </w:r>
      <w:r>
        <w:rPr>
          <w:rFonts w:hint="eastAsia" w:ascii="微软雅黑" w:hAnsi="微软雅黑" w:eastAsia="微软雅黑" w:cs="微软雅黑"/>
          <w:i w:val="0"/>
          <w:iCs w:val="0"/>
          <w:caps w:val="0"/>
          <w:color w:val="551A8B"/>
          <w:spacing w:val="0"/>
          <w:sz w:val="27"/>
          <w:szCs w:val="27"/>
          <w:u w:val="none"/>
        </w:rPr>
        <w:fldChar w:fldCharType="separate"/>
      </w:r>
      <w:r>
        <w:rPr>
          <w:rStyle w:val="6"/>
          <w:rFonts w:hint="eastAsia" w:ascii="微软雅黑" w:hAnsi="微软雅黑" w:eastAsia="微软雅黑" w:cs="微软雅黑"/>
          <w:i w:val="0"/>
          <w:iCs w:val="0"/>
          <w:caps w:val="0"/>
          <w:color w:val="551A8B"/>
          <w:spacing w:val="0"/>
          <w:sz w:val="27"/>
          <w:szCs w:val="27"/>
          <w:u w:val="none"/>
        </w:rPr>
        <w:t>强化危险废物监管和利用处置能力改革实施方案</w:t>
      </w:r>
      <w:r>
        <w:rPr>
          <w:rFonts w:hint="eastAsia" w:ascii="微软雅黑" w:hAnsi="微软雅黑" w:eastAsia="微软雅黑" w:cs="微软雅黑"/>
          <w:i w:val="0"/>
          <w:iCs w:val="0"/>
          <w:caps w:val="0"/>
          <w:color w:val="551A8B"/>
          <w:spacing w:val="0"/>
          <w:sz w:val="27"/>
          <w:szCs w:val="27"/>
          <w:u w:val="none"/>
        </w:rPr>
        <w:fldChar w:fldCharType="end"/>
      </w:r>
      <w:r>
        <w:rPr>
          <w:rFonts w:hint="eastAsia" w:ascii="微软雅黑" w:hAnsi="微软雅黑" w:eastAsia="微软雅黑" w:cs="微软雅黑"/>
          <w:i w:val="0"/>
          <w:iCs w:val="0"/>
          <w:caps w:val="0"/>
          <w:color w:val="000000"/>
          <w:spacing w:val="0"/>
          <w:sz w:val="27"/>
          <w:szCs w:val="27"/>
        </w:rPr>
        <w:t>》（国办函〔2021〕47号）有关要求，完善危险废物鉴别制度，推进分级分类管理，我部制定了《危险废物排除管理清单（2021年版）》（见附件），现予公布。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rPr>
        <w:t>　　符合本清单要求的固体废物不属于危险废物。本清单根据实际情况实行动态调整。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rPr>
        <w:t>　　附件：危险废物排除管理清单（2021年版）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rPr>
        <w:t>　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sz w:val="27"/>
          <w:szCs w:val="27"/>
        </w:rPr>
      </w:pPr>
      <w:r>
        <w:rPr>
          <w:rFonts w:hint="eastAsia" w:ascii="微软雅黑" w:hAnsi="微软雅黑" w:eastAsia="微软雅黑" w:cs="微软雅黑"/>
          <w:i w:val="0"/>
          <w:iCs w:val="0"/>
          <w:caps w:val="0"/>
          <w:color w:val="000000"/>
          <w:spacing w:val="0"/>
          <w:sz w:val="27"/>
          <w:szCs w:val="27"/>
        </w:rPr>
        <w:t>　　2021年12月2日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rPr>
        <w:t>　</w:t>
      </w:r>
      <w:r>
        <w:rPr>
          <w:rFonts w:hint="eastAsia" w:ascii="微软雅黑" w:hAnsi="微软雅黑" w:eastAsia="微软雅黑" w:cs="微软雅黑"/>
          <w:i w:val="0"/>
          <w:iCs w:val="0"/>
          <w:caps w:val="0"/>
          <w:color w:val="000000"/>
          <w:spacing w:val="0"/>
          <w:sz w:val="27"/>
          <w:szCs w:val="27"/>
          <w:lang w:val="en-US" w:eastAsia="zh-CN"/>
        </w:rPr>
        <w:t xml:space="preserve">                                 </w:t>
      </w:r>
      <w:bookmarkStart w:id="0" w:name="_GoBack"/>
      <w:bookmarkEnd w:id="0"/>
      <w:r>
        <w:rPr>
          <w:rFonts w:hint="eastAsia" w:ascii="微软雅黑" w:hAnsi="微软雅黑" w:eastAsia="微软雅黑" w:cs="微软雅黑"/>
          <w:i w:val="0"/>
          <w:iCs w:val="0"/>
          <w:caps w:val="0"/>
          <w:color w:val="000000"/>
          <w:spacing w:val="0"/>
          <w:sz w:val="27"/>
          <w:szCs w:val="27"/>
        </w:rPr>
        <w:t>　生态环境部办公厅2021年12月3日印发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b/>
          <w:bCs/>
          <w:i w:val="0"/>
          <w:iCs w:val="0"/>
          <w:caps w:val="0"/>
          <w:color w:val="000000"/>
          <w:spacing w:val="0"/>
          <w:sz w:val="27"/>
          <w:szCs w:val="27"/>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rPr>
        <w:t>危险废物排除管理清单（2021年版）</w:t>
      </w:r>
    </w:p>
    <w:tbl>
      <w:tblPr>
        <w:tblStyle w:val="4"/>
        <w:tblW w:w="49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3"/>
        <w:gridCol w:w="1765"/>
        <w:gridCol w:w="1554"/>
        <w:gridCol w:w="6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1"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rFonts w:asciiTheme="minorHAnsi" w:hAnsiTheme="minorHAnsi" w:eastAsiaTheme="minorEastAsia" w:cstheme="minorBidi"/>
                <w:b/>
                <w:bCs/>
                <w:kern w:val="0"/>
                <w:sz w:val="21"/>
                <w:szCs w:val="21"/>
                <w:lang w:val="en-US" w:eastAsia="zh-CN" w:bidi="ar"/>
              </w:rPr>
              <w:t>序号</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rFonts w:asciiTheme="minorHAnsi" w:hAnsiTheme="minorHAnsi" w:eastAsiaTheme="minorEastAsia" w:cstheme="minorBidi"/>
                <w:b/>
                <w:bCs/>
                <w:kern w:val="0"/>
                <w:sz w:val="21"/>
                <w:szCs w:val="21"/>
                <w:lang w:val="en-US" w:eastAsia="zh-CN" w:bidi="ar"/>
              </w:rPr>
              <w:t>固体废物名称</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rFonts w:asciiTheme="minorHAnsi" w:hAnsiTheme="minorHAnsi" w:eastAsiaTheme="minorEastAsia" w:cstheme="minorBidi"/>
                <w:b/>
                <w:bCs/>
                <w:kern w:val="0"/>
                <w:sz w:val="21"/>
                <w:szCs w:val="21"/>
                <w:lang w:val="en-US" w:eastAsia="zh-CN" w:bidi="ar"/>
              </w:rPr>
              <w:t>行业来源</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rFonts w:hint="eastAsia" w:ascii="宋体" w:hAnsi="宋体" w:eastAsia="宋体" w:cs="宋体"/>
                <w:b/>
                <w:bCs/>
                <w:kern w:val="0"/>
                <w:sz w:val="21"/>
                <w:szCs w:val="21"/>
                <w:lang w:val="en-US" w:eastAsia="zh-CN" w:bidi="ar"/>
              </w:rPr>
              <w:t>固</w:t>
            </w:r>
            <w:r>
              <w:rPr>
                <w:rFonts w:asciiTheme="minorHAnsi" w:hAnsiTheme="minorHAnsi" w:eastAsiaTheme="minorEastAsia" w:cstheme="minorBidi"/>
                <w:b/>
                <w:bCs/>
                <w:kern w:val="0"/>
                <w:sz w:val="21"/>
                <w:szCs w:val="21"/>
                <w:lang w:val="en-US" w:eastAsia="zh-CN" w:bidi="ar"/>
              </w:rPr>
              <w:t> 体 废 物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1</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废弃水基钻井泥浆及岩屑</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石油和天然气开采</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以水为连续相配制钻井泥浆用于石油和天然气开采过程中产生的废弃钻井泥浆及岩屑（不包括废弃聚磺体系泥浆及岩屑）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2</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脱墨渣</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纸浆制造</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废纸造浆工段的浮选脱墨工序产生的脱墨渣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0"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3</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七类树脂生产过程中造粒工序产生的废料</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合成材料制造</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聚乙烯（PE）树脂、聚丙烯（PP）树脂、聚苯乙烯（PS）树脂、聚氯乙烯（PVC）树脂、丙烯腈-丁二烯-苯乙烯（ABS）树脂、聚对苯二甲酸乙二醇酯（PET）树脂、聚对苯二甲酸丁二醇酯（PBT）树脂等七类树脂造粒加工生产产品过程中产生的不合格产品、大饼料、落地料、水涝料以及过渡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3"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4</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spacing w:val="-6"/>
                <w:kern w:val="0"/>
                <w:sz w:val="21"/>
                <w:szCs w:val="21"/>
                <w:lang w:val="en-US" w:eastAsia="zh-CN" w:bidi="ar"/>
              </w:rPr>
              <w:t>热浸镀锌浮渣和锌底渣</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金属表面处理及热处理加工</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金属表面热浸镀锌处理（未加铅且不使用助镀剂）过程中锌锅内产生的锌浮渣；金属表面热浸镀锌处理（未加铅）过程中锌锅内产生的锌底渣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7"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5</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铝电极箔生产过程产生的废水处理污泥</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金属表面处理及热处理加工</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铝电解电容器用铝电极箔生产过程中产生的化学腐蚀废水处理污泥、非硼酸系化成液化成废水处理污泥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39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sz w:val="27"/>
                <w:szCs w:val="27"/>
              </w:rPr>
            </w:pPr>
            <w:r>
              <w:rPr>
                <w:sz w:val="21"/>
                <w:szCs w:val="21"/>
              </w:rPr>
              <w:t>6</w:t>
            </w:r>
          </w:p>
        </w:tc>
        <w:tc>
          <w:tcPr>
            <w:tcW w:w="86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风电叶片切割边角料废物</w:t>
            </w:r>
          </w:p>
        </w:tc>
        <w:tc>
          <w:tcPr>
            <w:tcW w:w="760"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风能原动设备制造</w:t>
            </w:r>
          </w:p>
        </w:tc>
        <w:tc>
          <w:tcPr>
            <w:tcW w:w="2981"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sz w:val="27"/>
                <w:szCs w:val="27"/>
              </w:rPr>
            </w:pPr>
            <w:r>
              <w:rPr>
                <w:rFonts w:asciiTheme="minorHAnsi" w:hAnsiTheme="minorHAnsi" w:eastAsiaTheme="minorEastAsia" w:cstheme="minorBidi"/>
                <w:kern w:val="0"/>
                <w:sz w:val="21"/>
                <w:szCs w:val="21"/>
                <w:lang w:val="en-US" w:eastAsia="zh-CN" w:bidi="ar"/>
              </w:rPr>
              <w:t>风力发电叶片生产过程中产生的废弃玻璃纤维边角料和切边废料</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auto"/>
        <w:rPr>
          <w:sz w:val="27"/>
          <w:szCs w:val="27"/>
        </w:rPr>
      </w:pPr>
      <w:r>
        <w:rPr>
          <w:rFonts w:hint="eastAsia" w:ascii="微软雅黑" w:hAnsi="微软雅黑" w:eastAsia="微软雅黑" w:cs="微软雅黑"/>
          <w:i w:val="0"/>
          <w:iCs w:val="0"/>
          <w:caps w:val="0"/>
          <w:color w:val="000000"/>
          <w:spacing w:val="0"/>
          <w:sz w:val="27"/>
          <w:szCs w:val="27"/>
        </w:rPr>
        <w:t>　注：1.“固体废物名称”是指固体废物的通用名称。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auto"/>
        <w:rPr>
          <w:sz w:val="27"/>
          <w:szCs w:val="27"/>
        </w:rPr>
      </w:pPr>
      <w:r>
        <w:rPr>
          <w:rFonts w:hint="eastAsia" w:ascii="微软雅黑" w:hAnsi="微软雅黑" w:eastAsia="微软雅黑" w:cs="微软雅黑"/>
          <w:i w:val="0"/>
          <w:iCs w:val="0"/>
          <w:caps w:val="0"/>
          <w:color w:val="000000"/>
          <w:spacing w:val="0"/>
          <w:sz w:val="27"/>
          <w:szCs w:val="27"/>
        </w:rPr>
        <w:t>　　　2.“行业来源”是指固体废物的产生行业。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auto"/>
      </w:pPr>
      <w:r>
        <w:rPr>
          <w:rFonts w:hint="eastAsia" w:ascii="微软雅黑" w:hAnsi="微软雅黑" w:eastAsia="微软雅黑" w:cs="微软雅黑"/>
          <w:i w:val="0"/>
          <w:iCs w:val="0"/>
          <w:caps w:val="0"/>
          <w:color w:val="000000"/>
          <w:spacing w:val="0"/>
          <w:sz w:val="27"/>
          <w:szCs w:val="27"/>
        </w:rPr>
        <w:t>　　　3.“固体废物描述”是指固体废物的产生工艺和环节等具体描述。</w:t>
      </w:r>
    </w:p>
    <w:sectPr>
      <w:pgSz w:w="11906" w:h="16838"/>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64C46"/>
    <w:rsid w:val="44464FF6"/>
    <w:rsid w:val="4A527A22"/>
    <w:rsid w:val="51000B4B"/>
    <w:rsid w:val="6B1B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2021-12-08T00:53:52Z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04400F9FD8A94335AE39729BDBD18DA6</vt:lpwstr>
  </property>
</Properties>
</file>