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Style w:val="14"/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Style w:val="14"/>
          <w:rFonts w:hint="eastAsia"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Style w:val="14"/>
          <w:rFonts w:hint="eastAsia" w:ascii="Times New Roman" w:hAnsi="Times New Roman" w:eastAsia="方正小标宋简体"/>
          <w:sz w:val="44"/>
          <w:szCs w:val="44"/>
          <w:lang w:eastAsia="zh-CN"/>
        </w:rPr>
        <w:t>《</w:t>
      </w:r>
      <w:r>
        <w:rPr>
          <w:rStyle w:val="14"/>
          <w:rFonts w:ascii="Times New Roman" w:hAnsi="Times New Roman" w:eastAsia="方正小标宋简体"/>
          <w:sz w:val="44"/>
          <w:szCs w:val="44"/>
        </w:rPr>
        <w:t>安阳市</w:t>
      </w:r>
      <w:r>
        <w:rPr>
          <w:rStyle w:val="14"/>
          <w:rFonts w:hint="eastAsia" w:ascii="Times New Roman" w:hAnsi="Times New Roman" w:eastAsia="方正小标宋简体"/>
          <w:sz w:val="44"/>
          <w:szCs w:val="44"/>
          <w:lang w:eastAsia="zh-CN"/>
        </w:rPr>
        <w:t>“</w:t>
      </w:r>
      <w:r>
        <w:rPr>
          <w:rStyle w:val="14"/>
          <w:rFonts w:hint="eastAsia" w:ascii="Times New Roman" w:hAnsi="Times New Roman" w:eastAsia="方正小标宋简体"/>
          <w:sz w:val="44"/>
          <w:szCs w:val="44"/>
        </w:rPr>
        <w:t>十四五</w:t>
      </w:r>
      <w:r>
        <w:rPr>
          <w:rStyle w:val="14"/>
          <w:rFonts w:hint="eastAsia" w:ascii="Times New Roman" w:hAnsi="Times New Roman" w:eastAsia="方正小标宋简体"/>
          <w:sz w:val="44"/>
          <w:szCs w:val="44"/>
          <w:lang w:eastAsia="zh-CN"/>
        </w:rPr>
        <w:t>”</w:t>
      </w:r>
      <w:r>
        <w:rPr>
          <w:rStyle w:val="14"/>
          <w:rFonts w:hint="eastAsia" w:ascii="Times New Roman" w:hAnsi="Times New Roman" w:eastAsia="方正小标宋简体"/>
          <w:sz w:val="44"/>
          <w:szCs w:val="44"/>
          <w:lang w:val="en-US" w:eastAsia="zh-CN"/>
        </w:rPr>
        <w:t>生态环境保护</w:t>
      </w:r>
      <w:r>
        <w:rPr>
          <w:rStyle w:val="14"/>
          <w:rFonts w:ascii="Times New Roman" w:hAnsi="Times New Roman" w:eastAsia="方正小标宋简体"/>
          <w:sz w:val="44"/>
          <w:szCs w:val="44"/>
          <w:lang w:val="en-US" w:eastAsia="zh-CN"/>
        </w:rPr>
        <w:t>和生态经济发展</w:t>
      </w:r>
      <w:r>
        <w:rPr>
          <w:rStyle w:val="14"/>
          <w:rFonts w:hint="eastAsia" w:ascii="Times New Roman" w:hAnsi="Times New Roman" w:eastAsia="方正小标宋简体"/>
          <w:sz w:val="44"/>
          <w:szCs w:val="44"/>
        </w:rPr>
        <w:t>规划</w:t>
      </w:r>
      <w:r>
        <w:rPr>
          <w:rStyle w:val="14"/>
          <w:rFonts w:hint="eastAsia" w:ascii="Times New Roman" w:hAnsi="Times New Roman" w:eastAsia="方正小标宋简体"/>
          <w:sz w:val="44"/>
          <w:szCs w:val="44"/>
          <w:lang w:eastAsia="zh-CN"/>
        </w:rPr>
        <w:t>》政策解读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Style w:val="14"/>
          <w:rFonts w:ascii="Times New Roman" w:hAnsi="Times New Roman" w:eastAsia="仿宋_GB2312"/>
          <w:sz w:val="32"/>
          <w:szCs w:val="32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</w:pP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“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十四五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”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时期是开启全面建设社会主义现代化国家新征程、向第二个百年奋斗目标进军的五年、实现生态文明建设新进步的五年，是深入打好污染防治攻坚战、持续改善生态环境的五年。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</w:rPr>
        <w:t>制定科学合理的生态环境保护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和生态经济发展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</w:rPr>
        <w:t>规划，是解决我市生态环境瓶颈约束、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实现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</w:rPr>
        <w:t>生态环境质量改善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由量变到质变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</w:rPr>
        <w:t>、推进生态文明建设的重要支撑和保障。</w:t>
      </w:r>
      <w:r>
        <w:rPr>
          <w:rStyle w:val="21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按照省生态环境厅和市政府安排部署，市生态环境局组织了我市“十四五”生态环境保护和生态经济发展规划编制工作。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Style w:val="14"/>
          <w:rFonts w:hint="eastAsia" w:ascii="黑体" w:eastAsia="黑体" w:cs="黑体"/>
          <w:b w:val="0"/>
          <w:bCs w:val="0"/>
          <w:kern w:val="2"/>
          <w:sz w:val="32"/>
          <w:szCs w:val="32"/>
          <w:lang w:eastAsia="zh-CN"/>
        </w:rPr>
      </w:pPr>
      <w:r>
        <w:rPr>
          <w:rStyle w:val="14"/>
          <w:rFonts w:hint="eastAsia" w:ascii="黑体" w:eastAsia="黑体" w:cs="黑体"/>
          <w:b w:val="0"/>
          <w:bCs w:val="0"/>
          <w:kern w:val="2"/>
          <w:sz w:val="32"/>
          <w:szCs w:val="32"/>
          <w:lang w:eastAsia="zh-CN"/>
        </w:rPr>
        <w:t>一、起草背景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eastAsia="仿宋"/>
          <w:sz w:val="32"/>
          <w:szCs w:val="32"/>
        </w:rPr>
      </w:pP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“十三五”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时期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，全市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上下坚持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以习近平新时代中国特色社会主义思想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和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习近平生态文明思想为指导，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坚持“绿水青山就是金山银山”理念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，以改善生态环境质量为核心，</w:t>
      </w:r>
      <w:r>
        <w:rPr>
          <w:rFonts w:hint="default" w:ascii="Noto Sans New Tai Lue" w:hAnsi="Noto Sans New Tai Lue" w:eastAsia="仿宋_GB2312" w:cs="Noto Sans New Tai Lue"/>
          <w:sz w:val="32"/>
          <w:szCs w:val="32"/>
        </w:rPr>
        <w:t>坚持</w:t>
      </w:r>
      <w:r>
        <w:rPr>
          <w:rFonts w:hint="default" w:ascii="Noto Sans New Tai Lue" w:hAnsi="Noto Sans New Tai Lue" w:eastAsia="仿宋_GB2312" w:cs="Noto Sans New Tai Lue"/>
          <w:sz w:val="32"/>
          <w:szCs w:val="32"/>
          <w:lang w:eastAsia="zh-CN"/>
        </w:rPr>
        <w:t>精准治污、</w:t>
      </w:r>
      <w:r>
        <w:rPr>
          <w:rFonts w:hint="default" w:ascii="Noto Sans New Tai Lue" w:hAnsi="Noto Sans New Tai Lue" w:eastAsia="仿宋_GB2312" w:cs="Noto Sans New Tai Lue"/>
          <w:sz w:val="32"/>
          <w:szCs w:val="32"/>
        </w:rPr>
        <w:t>科学治污、依法治污，全力打好环境污染防治攻坚战，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扎实</w:t>
      </w:r>
      <w:r>
        <w:rPr>
          <w:rFonts w:hint="default" w:ascii="Noto Sans New Tai Lue" w:hAnsi="Noto Sans New Tai Lue" w:eastAsia="仿宋_GB2312" w:cs="Noto Sans New Tai Lue"/>
          <w:sz w:val="32"/>
          <w:szCs w:val="32"/>
        </w:rPr>
        <w:t>推进生态环境保护各项工作任务落实，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圆满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完成“十三五”生态环境保护目标，污染防治攻坚战取得阶段性成效，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生态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环境质量明显改善，生态功能持续提升，生态经济稳步发展，人民群众对</w:t>
      </w:r>
      <w:r>
        <w:rPr>
          <w:rFonts w:hint="eastAsia" w:ascii="仿宋" w:eastAsia="仿宋"/>
          <w:sz w:val="32"/>
          <w:szCs w:val="32"/>
        </w:rPr>
        <w:t>良好生态环境的获得感和幸福感普遍增强。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但是，我们也清醒的认识到，当前我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生态环境保护结构性、根源性、趋势性压力尚未根本缓解，生态环境质量改善</w:t>
      </w:r>
      <w:r>
        <w:rPr>
          <w:rFonts w:hint="eastAsia" w:ascii="仿宋" w:eastAsia="仿宋"/>
          <w:sz w:val="32"/>
          <w:szCs w:val="32"/>
        </w:rPr>
        <w:t>从量变到质变的拐点尚未到来，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成效还不稳固，生态环境治理体系与治理能力尚不能完全满足新形势要求，</w:t>
      </w:r>
      <w:r>
        <w:rPr>
          <w:rFonts w:hint="eastAsia" w:ascii="仿宋" w:eastAsia="仿宋"/>
          <w:sz w:val="32"/>
          <w:szCs w:val="32"/>
        </w:rPr>
        <w:t>生态经济发展基础仍较薄弱，生态环境保护与经济社会发展的良性互动机制尚未完全形成</w:t>
      </w:r>
      <w:r>
        <w:rPr>
          <w:rFonts w:hint="eastAsia" w:ascii="仿宋" w:eastAsia="仿宋"/>
          <w:sz w:val="32"/>
          <w:szCs w:val="32"/>
          <w:lang w:eastAsia="zh-CN"/>
        </w:rPr>
        <w:t>，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生态环境保护工作任重道远。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eastAsia" w:ascii="Noto Sans New Tai Lue" w:hAnsi="Noto Sans New Tai Lue" w:eastAsia="仿宋_GB2312" w:cs="Noto Sans New Tai Lue"/>
          <w:sz w:val="32"/>
          <w:szCs w:val="32"/>
        </w:rPr>
      </w:pP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委、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政府高度重视《安阳市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“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十四五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”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生态环境保护和生态经济发展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规划》编制工作，将其列为全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28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个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级重点专项规划之一。启动规划编制工作以来，在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委、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政府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坚强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有力领导下，在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直有关部门、各县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（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、区）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的大力支持下，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生态环境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局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深入贯彻落实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上级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关于生态文明建设和生态环境保护的部署要求，紧密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结合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国家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和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省“十四五”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规划编制的有关要求，以及全市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国民经济和社会发展规划纲要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有关精神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，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注重与上级规划和市本级规划相协调，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在深入调查研究和广泛听取各方意见建议的基础上，立足我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实际，编制形成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本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《规划》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。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2022年5月18日，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经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政府第1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23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次常务会议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研究原则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通过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；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2022年5月27日，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经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市委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常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委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会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研究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通过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；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2022年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6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月2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4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日，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市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政府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以安政【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2022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eastAsia="zh-CN"/>
        </w:rPr>
        <w:t>】</w:t>
      </w:r>
      <w:r>
        <w:rPr>
          <w:rFonts w:hint="eastAsia" w:ascii="Noto Sans New Tai Lue" w:hAnsi="Noto Sans New Tai Lue" w:eastAsia="仿宋_GB2312" w:cs="Noto Sans New Tai Lue"/>
          <w:sz w:val="32"/>
          <w:szCs w:val="32"/>
          <w:lang w:val="en-US" w:eastAsia="zh-CN"/>
        </w:rPr>
        <w:t>17号文</w:t>
      </w:r>
      <w:r>
        <w:rPr>
          <w:rFonts w:hint="eastAsia" w:ascii="Noto Sans New Tai Lue" w:hAnsi="Noto Sans New Tai Lue" w:eastAsia="仿宋_GB2312" w:cs="Noto Sans New Tai Lue"/>
          <w:sz w:val="32"/>
          <w:szCs w:val="32"/>
        </w:rPr>
        <w:t>印发实施。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Style w:val="14"/>
          <w:rFonts w:hint="eastAsia" w:ascii="黑体" w:eastAsia="黑体" w:cs="黑体"/>
          <w:b w:val="0"/>
          <w:bCs w:val="0"/>
          <w:kern w:val="2"/>
          <w:sz w:val="32"/>
          <w:szCs w:val="32"/>
          <w:lang w:eastAsia="zh-CN"/>
        </w:rPr>
      </w:pPr>
      <w:r>
        <w:rPr>
          <w:rStyle w:val="14"/>
          <w:rFonts w:hint="eastAsia" w:ascii="黑体" w:eastAsia="黑体" w:cs="黑体"/>
          <w:b w:val="0"/>
          <w:bCs w:val="0"/>
          <w:kern w:val="2"/>
          <w:sz w:val="32"/>
          <w:szCs w:val="32"/>
          <w:lang w:eastAsia="zh-CN"/>
        </w:rPr>
        <w:t>二、重大目标设定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Calibri" w:eastAsia="仿宋" w:cs="仿宋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21"/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/>
        </w:rPr>
        <w:t>（一）规划目标：</w:t>
      </w:r>
      <w:r>
        <w:rPr>
          <w:rFonts w:hint="eastAsia" w:ascii="仿宋" w:hAnsi="Calibri" w:eastAsia="仿宋" w:cs="仿宋"/>
          <w:bCs/>
          <w:color w:val="auto"/>
          <w:kern w:val="0"/>
          <w:sz w:val="32"/>
          <w:szCs w:val="32"/>
          <w:lang w:val="en-US" w:eastAsia="zh-CN" w:bidi="ar-SA"/>
        </w:rPr>
        <w:t>到2025年，国土空间开发保护格局优化，生产生活方式绿色转型成效显著，生态经济产业体系基本形成。生态环境质量显著提高，重污染天气持续减少，劣Ⅴ类水体基本消除，土壤安全利用水平</w:t>
      </w:r>
      <w:r>
        <w:rPr>
          <w:rFonts w:hint="eastAsia" w:ascii="仿宋" w:eastAsia="仿宋" w:cs="仿宋"/>
          <w:bCs/>
          <w:color w:val="auto"/>
          <w:kern w:val="0"/>
          <w:sz w:val="32"/>
          <w:szCs w:val="32"/>
          <w:lang w:val="en-US" w:eastAsia="zh-CN" w:bidi="ar-SA"/>
        </w:rPr>
        <w:t>得到巩固</w:t>
      </w:r>
      <w:r>
        <w:rPr>
          <w:rFonts w:hint="eastAsia" w:ascii="仿宋" w:hAnsi="Calibri" w:eastAsia="仿宋" w:cs="仿宋"/>
          <w:bCs/>
          <w:color w:val="auto"/>
          <w:kern w:val="0"/>
          <w:sz w:val="32"/>
          <w:szCs w:val="32"/>
          <w:lang w:val="en-US" w:eastAsia="zh-CN" w:bidi="ar-SA"/>
        </w:rPr>
        <w:t>提升。美丽宜居生态安阳建设初见成效，生态文明建设实现新进步。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outlineLvl w:val="3"/>
        <w:rPr>
          <w:rFonts w:hint="eastAsia" w:asci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Cs/>
          <w:color w:val="auto"/>
          <w:sz w:val="32"/>
          <w:szCs w:val="32"/>
          <w:lang w:val="en-US" w:eastAsia="zh-CN"/>
        </w:rPr>
        <w:t>到2035年，生产空间安全高效、生活空间舒适宜居、生态空间山清水秀，生态环境根本好转。绿色生产生活方式广泛形成，碳排放达峰后稳中有降，生态经济优势彰显，基本实现人与自然和谐共生，美丽宜居生态安阳建设目标基本实现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Style w:val="21"/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/>
        </w:rPr>
        <w:t>（二）主要指标：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</w:rPr>
        <w:t>共25项，其中约束性指标16项，预期性指标9项。包括环境质量改善指标7项、生态经济指标6项、污染物排放总量控制指标4项、环境风险防控5项、生态保护3项。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Style w:val="14"/>
          <w:rFonts w:hint="eastAsia" w:ascii="黑体" w:eastAsia="黑体" w:cs="黑体"/>
          <w:b w:val="0"/>
          <w:bCs w:val="0"/>
          <w:kern w:val="2"/>
          <w:sz w:val="32"/>
          <w:szCs w:val="32"/>
          <w:lang w:eastAsia="zh-CN"/>
        </w:rPr>
      </w:pPr>
      <w:r>
        <w:rPr>
          <w:rStyle w:val="14"/>
          <w:rFonts w:hint="eastAsia" w:ascii="黑体" w:eastAsia="黑体" w:cs="黑体"/>
          <w:b w:val="0"/>
          <w:bCs w:val="0"/>
          <w:kern w:val="2"/>
          <w:sz w:val="32"/>
          <w:szCs w:val="32"/>
          <w:lang w:eastAsia="zh-CN"/>
        </w:rPr>
        <w:t>三、总体要求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坚持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/>
        </w:rPr>
        <w:t>以习近平新时代中国特色社会主义思想为指导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，全面贯彻党的十九大和十九届历次全会精神，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/>
        </w:rPr>
        <w:t>深入贯彻习近平生态文明思想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和习近平总书记视察河南重要讲话指示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/>
        </w:rPr>
        <w:t>，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立足新发展阶段，贯彻新发展理念，构建新发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展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</w:rPr>
        <w:t>格局，锚定建成“一个强市”，实现“八个领先”战略目标。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协同推进生态环境高水平保护和生态经济高质量发展，按照深入打好污染防治攻坚战总要求，坚持生态优</w:t>
      </w:r>
      <w:r>
        <w:rPr>
          <w:rStyle w:val="21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先、绿色发展，以减污降碳为总抓手，坚持稳中求进、重点突破，坚持源头治理、系统治理、整体治理，更加突出精准治污、科学治污、依法治污，激励与约束并举增容与减排并重，统筹推进“提气降碳强生态，增水固土防风险”。促进总量排放持续减少，生态环境持续改善，环境风险有效防控，生态安全有效保障，治理能力大幅提升，加快建设美丽宜居生态安阳，实现生态文明建设新进步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outlineLvl w:val="3"/>
        <w:rPr>
          <w:rStyle w:val="14"/>
          <w:rFonts w:hint="eastAsia" w:asci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四、遵循原则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outlineLvl w:val="3"/>
        <w:rPr>
          <w:rFonts w:hint="eastAsia" w:ascii="仿宋" w:eastAsia="仿宋" w:cs="仿宋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b/>
          <w:color w:val="auto"/>
          <w:sz w:val="32"/>
          <w:szCs w:val="32"/>
          <w:lang w:val="en-US" w:eastAsia="zh-CN" w:bidi="ar-SA"/>
        </w:rPr>
        <w:t>坚持人民至上、生态惠民。</w:t>
      </w:r>
      <w:r>
        <w:rPr>
          <w:rStyle w:val="21"/>
          <w:rFonts w:hint="eastAsia" w:ascii="Times New Roman" w:hAnsi="Times New Roman" w:eastAsia="仿宋_GB2312" w:cs="仿宋"/>
          <w:bCs/>
          <w:kern w:val="2"/>
          <w:sz w:val="32"/>
          <w:szCs w:val="32"/>
          <w:lang w:val="en-US" w:eastAsia="zh-CN" w:bidi="ar-SA"/>
        </w:rPr>
        <w:t>依靠人民、服务人民，群策群力、群防群治，着力解决人民群众身边的生态环境问题，提供更多的优质生态产品，不断满足人民日益增长的优美生态环境需要。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outlineLvl w:val="3"/>
        <w:rPr>
          <w:rFonts w:hint="eastAsia" w:ascii="仿宋" w:eastAsia="仿宋" w:cs="仿宋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b/>
          <w:color w:val="auto"/>
          <w:sz w:val="32"/>
          <w:szCs w:val="32"/>
          <w:lang w:val="en-US" w:eastAsia="zh-CN"/>
        </w:rPr>
        <w:t>坚持绿色引领、绿色发展。</w:t>
      </w:r>
      <w:r>
        <w:rPr>
          <w:rStyle w:val="21"/>
          <w:rFonts w:hint="eastAsia" w:ascii="Times New Roman" w:hAnsi="Times New Roman" w:eastAsia="仿宋_GB2312" w:cs="仿宋"/>
          <w:bCs/>
          <w:kern w:val="2"/>
          <w:sz w:val="32"/>
          <w:szCs w:val="32"/>
          <w:lang w:val="en-US" w:eastAsia="zh-CN"/>
        </w:rPr>
        <w:t>将生态环境保护融入经济社会发展全过程，建立健全绿色低碳循环发展经济体系，加快形成绿色生产生活方式，以生态环境高水平保护推动生态经济高质量发展，促进经济社会发展全面绿色转型。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outlineLvl w:val="3"/>
        <w:rPr>
          <w:rFonts w:hint="eastAsia" w:ascii="仿宋" w:eastAsia="仿宋" w:cs="仿宋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b/>
          <w:color w:val="auto"/>
          <w:sz w:val="32"/>
          <w:szCs w:val="32"/>
          <w:lang w:val="en-US" w:eastAsia="zh-CN" w:bidi="ar-SA"/>
        </w:rPr>
        <w:t>坚持以改善生态环境为核心。</w:t>
      </w:r>
      <w:r>
        <w:rPr>
          <w:rStyle w:val="21"/>
          <w:rFonts w:hint="eastAsia" w:ascii="Times New Roman" w:hAnsi="Times New Roman" w:eastAsia="仿宋_GB2312" w:cs="仿宋"/>
          <w:bCs/>
          <w:kern w:val="2"/>
          <w:sz w:val="32"/>
          <w:szCs w:val="32"/>
          <w:lang w:val="en-US" w:eastAsia="zh-CN" w:bidi="ar-SA"/>
        </w:rPr>
        <w:t>从生态系统整体性出发，以生态环境质量目标为导向，安阳市重点是大气环境。以2035年环境空气全面达标为总体目标，巩固提升已有工作成果，在“十四五”大气环境治理重点领域取得新突破，带动生态环境保护整体推进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outlineLvl w:val="3"/>
        <w:rPr>
          <w:rFonts w:hint="eastAsia" w:ascii="仿宋" w:eastAsia="仿宋" w:cs="仿宋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b/>
          <w:color w:val="auto"/>
          <w:sz w:val="32"/>
          <w:szCs w:val="32"/>
          <w:lang w:val="en-US" w:eastAsia="zh-CN"/>
        </w:rPr>
        <w:t>坚持精准、科学、依法治污。</w:t>
      </w:r>
      <w:r>
        <w:rPr>
          <w:rStyle w:val="21"/>
          <w:rFonts w:hint="eastAsia" w:ascii="Times New Roman" w:hAnsi="Times New Roman" w:eastAsia="仿宋_GB2312" w:cs="仿宋"/>
          <w:bCs/>
          <w:kern w:val="2"/>
          <w:sz w:val="32"/>
          <w:szCs w:val="32"/>
          <w:lang w:val="en-US" w:eastAsia="zh-CN"/>
        </w:rPr>
        <w:t>运用科学思维、科学方法、科技手段，精细管理、分类施策、因地制宜。加强山水林田湖草沙一体化保护和修复。强化各种生态要素协同治理，提高环境治理针对性和有效性。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outlineLvl w:val="3"/>
        <w:rPr>
          <w:rFonts w:hint="eastAsia" w:ascii="仿宋" w:eastAsia="仿宋" w:cs="仿宋"/>
          <w:b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b/>
          <w:color w:val="auto"/>
          <w:sz w:val="32"/>
          <w:szCs w:val="32"/>
          <w:lang w:val="en-US" w:eastAsia="zh-CN" w:bidi="ar-SA"/>
        </w:rPr>
        <w:t>坚持安全为基、守牢底线。</w:t>
      </w:r>
      <w:r>
        <w:rPr>
          <w:rStyle w:val="21"/>
          <w:rFonts w:hint="eastAsia" w:ascii="Times New Roman" w:hAnsi="Times New Roman" w:eastAsia="仿宋_GB2312" w:cs="仿宋"/>
          <w:bCs/>
          <w:kern w:val="2"/>
          <w:sz w:val="32"/>
          <w:szCs w:val="32"/>
          <w:lang w:val="en-US" w:eastAsia="zh-CN" w:bidi="ar-SA"/>
        </w:rPr>
        <w:t>不断完善生态环境风险常态化管理体系，强化重点领域生态环境风险防范，着力提升突发环境事件应急处置能力，切实维护生态环境安全。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outlineLvl w:val="3"/>
        <w:rPr>
          <w:rStyle w:val="21"/>
          <w:rFonts w:hint="eastAsia" w:ascii="Times New Roman" w:hAnsi="Times New Roman" w:eastAsia="仿宋_GB2312" w:cs="仿宋"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/>
          <w:color w:val="auto"/>
          <w:sz w:val="32"/>
          <w:szCs w:val="32"/>
          <w:lang w:val="en-US" w:eastAsia="zh-CN"/>
        </w:rPr>
        <w:t>坚持改革引领、创新驱动。</w:t>
      </w:r>
      <w:r>
        <w:rPr>
          <w:rStyle w:val="21"/>
          <w:rFonts w:hint="eastAsia" w:ascii="Times New Roman" w:hAnsi="Times New Roman" w:eastAsia="仿宋_GB2312" w:cs="仿宋"/>
          <w:bCs/>
          <w:kern w:val="2"/>
          <w:sz w:val="32"/>
          <w:szCs w:val="32"/>
          <w:lang w:val="en-US" w:eastAsia="zh-CN"/>
        </w:rPr>
        <w:t>深入推进生态文明体制改革，完善生态环境保护领导体制和工作机制，加大科技、政策、管理创新力度，加快构建现代环境治理体系。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outlineLvl w:val="3"/>
        <w:rPr>
          <w:rStyle w:val="14"/>
          <w:rFonts w:hint="eastAsia" w:asci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五、重大项目谋划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方正兰亭黑_GBK" w:hAnsi="方正兰亭黑_GBK" w:eastAsia="仿宋" w:cs="仿宋"/>
          <w:bCs/>
          <w:color w:val="auto"/>
          <w:sz w:val="32"/>
          <w:szCs w:val="32"/>
          <w:lang w:val="en-US" w:eastAsia="zh-CN" w:bidi="ar-SA"/>
        </w:rPr>
      </w:pPr>
      <w:r>
        <w:rPr>
          <w:rStyle w:val="21"/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实施结构调整绿色发展、应对气候变化、蓝天碧水净土保卫战、农业农村污染治理、生态保护与修复、生态经济发展、环境风险防范、生态环境治理能力提升等十类重大工程。建立重点工程项目库，专项资金优先支持。完善协调项目推进机制，分期分段推进、科学动态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Style w:val="21"/>
          <w:rFonts w:hint="eastAsia" w:ascii="Times New Roman" w:hAnsi="Times New Roman" w:eastAsia="仿宋_GB2312" w:cs="仿宋"/>
          <w:bCs/>
          <w:color w:val="000000"/>
          <w:sz w:val="32"/>
          <w:szCs w:val="32"/>
          <w:lang w:val="en-US" w:eastAsia="zh-CN"/>
        </w:rPr>
      </w:pPr>
      <w:r>
        <w:rPr>
          <w:rStyle w:val="21"/>
          <w:rFonts w:hint="eastAsia" w:ascii="Times New Roman" w:hAnsi="Times New Roman" w:eastAsia="仿宋_GB2312" w:cs="仿宋"/>
          <w:bCs/>
          <w:color w:val="000000"/>
          <w:sz w:val="32"/>
          <w:szCs w:val="32"/>
          <w:lang w:val="en-US" w:eastAsia="zh-CN"/>
        </w:rPr>
        <w:t>落实生态环境领域市与县（市、区）财政事权和支出责任划分要求，建立权责清晰、财力协调、区域均衡的财政关系，增强基层生态环境基本公共服务保障能力。拓宽融资渠道，综合运用土地、规划、金融、价格多种政策引导社会资本投入。积极推行政府和社会资本合作，吸引社会资本参与公益性环境保护项目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_GBK">
    <w:altName w:val="方正黑体_GBK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New Tai Lue">
    <w:panose1 w:val="020B0502040504020204"/>
    <w:charset w:val="00"/>
    <w:family w:val="auto"/>
    <w:pitch w:val="default"/>
    <w:sig w:usb0="80000003" w:usb1="00002000" w:usb2="8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5"/>
      </w:rPr>
      <w:fldChar w:fldCharType="begin"/>
    </w:r>
    <w:r>
      <w:rPr>
        <w:rStyle w:val="15"/>
      </w:rPr>
      <w:instrText xml:space="preserve">Page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8"/>
      <w:rPr>
        <w:rStyle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5"/>
      </w:rPr>
      <w:fldChar w:fldCharType="begin"/>
    </w:r>
    <w:r>
      <w:rPr>
        <w:rStyle w:val="15"/>
      </w:rPr>
      <w:instrText xml:space="preserve">Page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5"/>
      </w:rPr>
      <w:fldChar w:fldCharType="begin"/>
    </w:r>
    <w:r>
      <w:rPr>
        <w:rStyle w:val="15"/>
      </w:rPr>
      <w:instrText xml:space="preserve">Page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true"/>
  <w:bordersDoNotSurroundHeader w:val="false"/>
  <w:bordersDoNotSurroundFooter w:val="fals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746FCC42"/>
    <w:rsid w:val="757D20F6"/>
    <w:rsid w:val="7EB18809"/>
    <w:rsid w:val="9DDDF33D"/>
    <w:rsid w:val="CDD59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40" w:after="240" w:line="360" w:lineRule="auto"/>
      <w:jc w:val="center"/>
      <w:outlineLvl w:val="1"/>
    </w:pPr>
    <w:rPr>
      <w:rFonts w:ascii="Arial" w:hAnsi="Arial" w:eastAsia="方正仿宋_GBK" w:cs="Times New Roman"/>
      <w:b/>
      <w:color w:val="000000"/>
      <w:sz w:val="36"/>
      <w:szCs w:val="36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200" w:firstLineChars="200"/>
    </w:pPr>
  </w:style>
  <w:style w:type="paragraph" w:styleId="6">
    <w:name w:val="caption"/>
    <w:basedOn w:val="1"/>
    <w:next w:val="1"/>
    <w:qFormat/>
    <w:uiPriority w:val="0"/>
    <w:rPr>
      <w:rFonts w:ascii="方正兰亭黑_GBK" w:hAnsi="方正兰亭黑_GBK" w:eastAsia="黑体"/>
      <w:b/>
      <w:bCs/>
      <w:sz w:val="20"/>
      <w:szCs w:val="20"/>
    </w:r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3">
    <w:name w:val="Strong"/>
    <w:basedOn w:val="14"/>
    <w:qFormat/>
    <w:uiPriority w:val="0"/>
    <w:rPr>
      <w:rFonts w:ascii="Calibri" w:hAnsi="Calibri" w:eastAsia="宋体"/>
      <w:b/>
    </w:rPr>
  </w:style>
  <w:style w:type="character" w:customStyle="1" w:styleId="14">
    <w:name w:val="NormalCharacter"/>
    <w:qFormat/>
    <w:uiPriority w:val="0"/>
    <w:rPr>
      <w:rFonts w:ascii="Calibri" w:hAnsi="Calibri" w:eastAsia="宋体"/>
    </w:rPr>
  </w:style>
  <w:style w:type="character" w:styleId="15">
    <w:name w:val="page number"/>
    <w:basedOn w:val="12"/>
    <w:qFormat/>
    <w:uiPriority w:val="0"/>
  </w:style>
  <w:style w:type="paragraph" w:customStyle="1" w:styleId="16">
    <w:name w:val="BodyText"/>
    <w:basedOn w:val="1"/>
    <w:next w:val="1"/>
    <w:qFormat/>
    <w:uiPriority w:val="0"/>
    <w:pPr>
      <w:jc w:val="center"/>
    </w:pPr>
    <w:rPr>
      <w:sz w:val="20"/>
      <w:szCs w:val="20"/>
    </w:rPr>
  </w:style>
  <w:style w:type="paragraph" w:customStyle="1" w:styleId="17">
    <w:name w:val="Index5"/>
    <w:basedOn w:val="1"/>
    <w:next w:val="1"/>
    <w:qFormat/>
    <w:uiPriority w:val="0"/>
    <w:pPr>
      <w:ind w:left="1680"/>
    </w:pPr>
    <w:rPr>
      <w:rFonts w:eastAsia="Times New Roman"/>
      <w:sz w:val="32"/>
    </w:r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9">
    <w:name w:val="UserStyle_1"/>
    <w:next w:val="17"/>
    <w:qFormat/>
    <w:uiPriority w:val="0"/>
    <w:pPr>
      <w:textAlignment w:val="baseline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customStyle="1" w:styleId="20">
    <w:name w:val="Body text|1"/>
    <w:basedOn w:val="1"/>
    <w:qFormat/>
    <w:uiPriority w:val="0"/>
    <w:pPr>
      <w:widowControl w:val="0"/>
      <w:spacing w:line="480" w:lineRule="auto"/>
      <w:ind w:firstLine="400"/>
      <w:jc w:val="left"/>
      <w:textAlignment w:val="auto"/>
    </w:pPr>
    <w:rPr>
      <w:rFonts w:ascii="宋体" w:cs="宋体"/>
      <w:color w:val="000000"/>
      <w:kern w:val="0"/>
      <w:sz w:val="24"/>
      <w:lang w:val="zh-TW" w:eastAsia="zh-TW"/>
    </w:rPr>
  </w:style>
  <w:style w:type="character" w:customStyle="1" w:styleId="21">
    <w:name w:val="UserStyle_0"/>
    <w:qFormat/>
    <w:uiPriority w:val="0"/>
    <w:rPr>
      <w:rFonts w:ascii="Calibri" w:hAnsi="Calibri" w:eastAsia="宋体"/>
    </w:rPr>
  </w:style>
  <w:style w:type="paragraph" w:customStyle="1" w:styleId="22">
    <w:name w:val="LZ-正文"/>
    <w:basedOn w:val="1"/>
    <w:qFormat/>
    <w:uiPriority w:val="0"/>
    <w:pPr>
      <w:widowControl w:val="0"/>
      <w:spacing w:before="156" w:line="360" w:lineRule="auto"/>
      <w:ind w:firstLine="200" w:firstLineChars="200"/>
    </w:pPr>
    <w:rPr>
      <w:rFonts w:ascii="Times New Roman" w:hAnsi="Times New Roman" w:eastAsia="仿宋_GB2312" w:cs="仿宋"/>
      <w:color w:val="000000"/>
      <w:kern w:val="0"/>
      <w:sz w:val="28"/>
      <w:szCs w:val="28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5026</Words>
  <Characters>5038</Characters>
  <Lines>215</Lines>
  <Paragraphs>42</Paragraphs>
  <TotalTime>3</TotalTime>
  <ScaleCrop>false</ScaleCrop>
  <LinksUpToDate>false</LinksUpToDate>
  <CharactersWithSpaces>5045</CharactersWithSpaces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2021-05-19T18:06:00Z</dcterms:created>
  <dc:creator>Hp</dc:creator>
  <cp:lastModifiedBy>lhm</cp:lastModifiedBy>
  <cp:lastPrinted>2022-07-25T15:48:09Z</cp:lastPrinted>
  <dcterms:modified xsi:type="dcterms:W3CDTF">2022-07-25T17:07:53Z</dcterms:modified>
  <dc:title>安阳市“十四五”生态环境保护规划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CBDAEC85E36046D0A957C6AB3437D5CF</vt:lpwstr>
  </property>
</Properties>
</file>