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bookmarkStart w:id="0" w:name="_GoBack"/>
      <w:bookmarkEnd w:id="0"/>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16</w:t>
      </w:r>
      <w:r>
        <w:rPr>
          <w:rFonts w:hint="eastAsia" w:ascii="楷体" w:hAnsi="楷体" w:eastAsia="楷体" w:cs="FZFSK--GBK1-0"/>
          <w:kern w:val="0"/>
          <w:szCs w:val="32"/>
        </w:rPr>
        <w:t>号</w:t>
      </w:r>
    </w:p>
    <w:p>
      <w:pPr>
        <w:autoSpaceDE w:val="0"/>
        <w:autoSpaceDN w:val="0"/>
        <w:adjustRightInd w:val="0"/>
        <w:snapToGrid w:val="0"/>
        <w:spacing w:line="560" w:lineRule="exact"/>
        <w:jc w:val="left"/>
        <w:rPr>
          <w:rFonts w:hint="eastAsia" w:ascii="仿宋" w:hAnsi="仿宋" w:cs="仿宋"/>
          <w:szCs w:val="32"/>
        </w:rPr>
      </w:pPr>
      <w:r>
        <w:rPr>
          <w:rFonts w:hint="eastAsia" w:ascii="仿宋" w:hAnsi="仿宋" w:cs="仿宋"/>
          <w:szCs w:val="32"/>
        </w:rPr>
        <w:t>安阳市远山矿渣微粉有限公司</w:t>
      </w:r>
    </w:p>
    <w:p>
      <w:pPr>
        <w:autoSpaceDE w:val="0"/>
        <w:autoSpaceDN w:val="0"/>
        <w:adjustRightInd w:val="0"/>
        <w:snapToGrid w:val="0"/>
        <w:spacing w:line="560" w:lineRule="exact"/>
        <w:jc w:val="left"/>
        <w:rPr>
          <w:rFonts w:hint="eastAsia" w:ascii="仿宋" w:hAnsi="仿宋" w:cs="仿宋"/>
          <w:szCs w:val="32"/>
        </w:rPr>
      </w:pPr>
      <w:r>
        <w:rPr>
          <w:rFonts w:hint="eastAsia" w:ascii="仿宋" w:hAnsi="仿宋" w:cs="仿宋"/>
          <w:szCs w:val="32"/>
        </w:rPr>
        <w:t>统一社会信用代码：91410506317555186T</w:t>
      </w:r>
    </w:p>
    <w:p>
      <w:pPr>
        <w:autoSpaceDE w:val="0"/>
        <w:autoSpaceDN w:val="0"/>
        <w:adjustRightInd w:val="0"/>
        <w:snapToGrid w:val="0"/>
        <w:spacing w:line="560" w:lineRule="exact"/>
        <w:jc w:val="left"/>
        <w:rPr>
          <w:rFonts w:hint="eastAsia" w:ascii="仿宋" w:hAnsi="仿宋" w:cs="仿宋"/>
          <w:szCs w:val="32"/>
        </w:rPr>
      </w:pPr>
      <w:r>
        <w:rPr>
          <w:rFonts w:hint="eastAsia" w:ascii="仿宋" w:hAnsi="仿宋" w:cs="仿宋"/>
          <w:szCs w:val="32"/>
        </w:rPr>
        <w:t>地址：安阳市龙安区中龙山村龙山路路东（村北）</w:t>
      </w:r>
    </w:p>
    <w:p>
      <w:pPr>
        <w:autoSpaceDE w:val="0"/>
        <w:autoSpaceDN w:val="0"/>
        <w:adjustRightInd w:val="0"/>
        <w:snapToGrid w:val="0"/>
        <w:spacing w:line="560" w:lineRule="exact"/>
        <w:jc w:val="left"/>
        <w:rPr>
          <w:rFonts w:ascii="仿宋" w:hAnsi="仿宋" w:cs="仿宋"/>
          <w:szCs w:val="32"/>
        </w:rPr>
      </w:pPr>
      <w:r>
        <w:rPr>
          <w:rFonts w:hint="eastAsia" w:ascii="仿宋" w:hAnsi="仿宋" w:cs="仿宋"/>
          <w:szCs w:val="32"/>
        </w:rPr>
        <w:t>法定代表人：李天兵</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autoSpaceDE w:val="0"/>
        <w:autoSpaceDN w:val="0"/>
        <w:adjustRightInd w:val="0"/>
        <w:snapToGrid w:val="0"/>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我局于2023年10月29日、11月3日进行了调查，发现你单位实施了以下环境违法行为：2023年10月29日，我局执法人员对该公司现场检查时发现：你单位1号矿粉仓正在卸料，1台散装车正在装车，矿粉仓下料口下方地面积尘严重;1台散装车从企业驶出，道路扬尘明显;厂区内大棚、皮带廊密闭不严，进出道路有破损，地面积尘严重。2023年11月3日，执法人员对你单位进行了调查询问。</w:t>
      </w:r>
    </w:p>
    <w:p>
      <w:pPr>
        <w:autoSpaceDE w:val="0"/>
        <w:autoSpaceDN w:val="0"/>
        <w:adjustRightInd w:val="0"/>
        <w:snapToGrid w:val="0"/>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你单位的上述行为违反了《中华人民共和国大气污染防治法》第四十八条: “钢铁、建材、有色金属、石油、化工、制药、矿产当加强精细化管理，采取集中收集处理等措施，严格控制粉尘和气态污染物的排放放。工业生产企业应当采取密闭、围挡、遮盖、清扫、洒水等措施，减少内部物料的堆存、传输、装卸等环节产生的粉尘和气态污染物的排放”规定。</w:t>
      </w:r>
    </w:p>
    <w:p>
      <w:pPr>
        <w:autoSpaceDE w:val="0"/>
        <w:autoSpaceDN w:val="0"/>
        <w:adjustRightInd w:val="0"/>
        <w:snapToGrid w:val="0"/>
        <w:spacing w:line="560" w:lineRule="exact"/>
        <w:ind w:firstLine="632" w:firstLineChars="200"/>
        <w:rPr>
          <w:rFonts w:ascii="仿宋_GB2312" w:hAnsi="方正仿宋_GBK" w:eastAsia="仿宋_GB2312" w:cs="方正仿宋_GBK"/>
          <w:szCs w:val="32"/>
        </w:rPr>
      </w:pPr>
      <w:r>
        <w:rPr>
          <w:rFonts w:hint="eastAsia" w:ascii="仿宋_GB2312" w:hAnsi="方正仿宋_GBK" w:eastAsia="仿宋_GB2312" w:cs="方正仿宋_GBK"/>
          <w:szCs w:val="32"/>
        </w:rPr>
        <w:t>以上事实，有营业执照;法定代表人身份证；现状环境影响评估报告（摘要）复印件；排污许可证（摘要）复印件；现场积尘和车辆产生扬尘的视频、照片；出库单；现场检查（勘察）笔录;调查询问笔录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w:t>
      </w:r>
      <w:r>
        <w:rPr>
          <w:rFonts w:ascii="仿宋" w:hAnsi="仿宋" w:eastAsia="仿宋_GB2312" w:cs="FZFSK--GBK1-0"/>
          <w:kern w:val="0"/>
          <w:szCs w:val="32"/>
        </w:rPr>
        <w:t>12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56</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56</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wordWrap w:val="0"/>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河南省生态环境行政处罚裁量基准》：裁量因素：违法事实，内容:已落实集中收集处理、密闭、围挡、遮盖、清扫、洒水等措施，但未按规定使用或管理，造成少量抛洒，泄露，裁量等级：1；裁量因素：项目建设地点，内容：符合环境功能区划，裁量等级：1；裁量因素：违法行为持续时间，内容：1个月以下的，裁量等级：1；裁量因素：企业规模，内容：微型企业，裁量等级；1；裁量因素：超过限期改正时间，内容；限期改正，裁量等级：要求立即停止违法行为，不涉及该项；裁量因素：违法行为发生时期环境敏感度，内容：一般期间，裁量等级：1；裁量因素：受处罚次数，内容：两年内未受到过同类处罚，裁量等级：1；裁量因素：是否配合执法检查，内容：配合检查，裁量等级：1。法定处罚金额上限(M)：200000,法定处罚金额下限(N)：20000,首要裁量因素裁量等级(A)：1,其余裁量因素个数(n)：6,其余裁量因素裁量等级(Bi)：[1,1,1,1,1,1]，处罚金额(X)：27200元，代入公式；27200=20000+(200000-20000)x[(1</w:t>
      </w:r>
      <w:r>
        <w:rPr>
          <w:rFonts w:hint="default" w:ascii="仿宋_GB2312" w:hAnsi="仿宋_GB2312" w:eastAsia="仿宋_GB2312" w:cs="仿宋_GB2312"/>
          <w:szCs w:val="32"/>
          <w:lang w:val="en"/>
        </w:rPr>
        <w:t>/</w:t>
      </w:r>
      <w:r>
        <w:rPr>
          <w:rFonts w:ascii="仿宋_GB2312" w:hAnsi="仿宋_GB2312" w:eastAsia="仿宋_GB2312" w:cs="仿宋_GB2312"/>
          <w:szCs w:val="32"/>
        </w:rPr>
        <w:t>5</w:t>
      </w:r>
      <w:r>
        <w:rPr>
          <w:rFonts w:hint="eastAsia" w:ascii="仿宋_GB2312" w:hAnsi="仿宋_GB2312" w:eastAsia="仿宋_GB2312" w:cs="仿宋_GB2312"/>
          <w:szCs w:val="32"/>
        </w:rPr>
        <w:t>)</w:t>
      </w:r>
      <w:r>
        <w:rPr>
          <w:rFonts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ascii="Calibri" w:hAnsi="Calibri" w:eastAsia="仿宋_GB2312" w:cs="Calibri"/>
          <w:szCs w:val="32"/>
        </w:rPr>
        <w:t>²</w:t>
      </w:r>
      <w:r>
        <w:rPr>
          <w:rFonts w:ascii="仿宋_GB2312" w:hAnsi="仿宋_GB2312" w:eastAsia="仿宋_GB2312" w:cs="仿宋_GB2312"/>
          <w:szCs w:val="32"/>
        </w:rPr>
        <w:t>+1</w:t>
      </w:r>
      <w:r>
        <w:rPr>
          <w:rFonts w:ascii="Calibri" w:hAnsi="Calibri" w:eastAsia="仿宋_GB2312" w:cs="Calibri"/>
          <w:szCs w:val="32"/>
        </w:rPr>
        <w:t>²</w:t>
      </w:r>
      <w:r>
        <w:rPr>
          <w:rFonts w:ascii="仿宋_GB2312" w:hAnsi="仿宋_GB2312" w:eastAsia="仿宋_GB2312" w:cs="仿宋_GB2312"/>
          <w:szCs w:val="32"/>
        </w:rPr>
        <w:t>+1</w:t>
      </w:r>
      <w:r>
        <w:rPr>
          <w:rFonts w:ascii="Calibri" w:hAnsi="Calibri" w:eastAsia="仿宋_GB2312" w:cs="Calibri"/>
          <w:szCs w:val="32"/>
        </w:rPr>
        <w:t>²</w:t>
      </w:r>
      <w:r>
        <w:rPr>
          <w:rFonts w:ascii="仿宋_GB2312" w:hAnsi="仿宋_GB2312" w:eastAsia="仿宋_GB2312" w:cs="仿宋_GB2312"/>
          <w:szCs w:val="32"/>
        </w:rPr>
        <w:t>+1</w:t>
      </w:r>
      <w:r>
        <w:rPr>
          <w:rFonts w:ascii="Calibri" w:hAnsi="Calibri" w:eastAsia="仿宋_GB2312" w:cs="Calibri"/>
          <w:szCs w:val="32"/>
        </w:rPr>
        <w:t>²</w:t>
      </w:r>
      <w:r>
        <w:rPr>
          <w:rFonts w:hint="eastAsia" w:ascii="仿宋_GB2312" w:hAnsi="仿宋_GB2312" w:eastAsia="仿宋_GB2312" w:cs="仿宋_GB2312"/>
          <w:szCs w:val="32"/>
        </w:rPr>
        <w:t>+1</w:t>
      </w:r>
      <w:r>
        <w:rPr>
          <w:rFonts w:ascii="Calibri" w:hAnsi="Calibri" w:eastAsia="仿宋_GB2312" w:cs="Calibri"/>
          <w:szCs w:val="32"/>
        </w:rPr>
        <w:t>²</w:t>
      </w:r>
      <w:r>
        <w:rPr>
          <w:rFonts w:hint="eastAsia" w:ascii="仿宋_GB2312" w:hAnsi="仿宋_GB2312" w:eastAsia="仿宋_GB2312" w:cs="仿宋_GB2312"/>
          <w:szCs w:val="32"/>
        </w:rPr>
        <w:t>]/(5</w:t>
      </w:r>
      <w:r>
        <w:rPr>
          <w:rFonts w:ascii="Calibri" w:hAnsi="Calibri" w:eastAsia="仿宋_GB2312" w:cs="Calibri"/>
          <w:szCs w:val="32"/>
        </w:rPr>
        <w:t>²</w:t>
      </w:r>
      <w:r>
        <w:rPr>
          <w:rFonts w:hint="eastAsia" w:ascii="仿宋_GB2312" w:hAnsi="仿宋_GB2312" w:eastAsia="仿宋_GB2312" w:cs="仿宋_GB2312"/>
          <w:szCs w:val="32"/>
        </w:rPr>
        <w:t>x6)]x50%，自定义裁量计算值：0，最终裁量金额：27200元。</w:t>
      </w:r>
    </w:p>
    <w:p>
      <w:pPr>
        <w:autoSpaceDE w:val="0"/>
        <w:autoSpaceDN w:val="0"/>
        <w:adjustRightInd w:val="0"/>
        <w:snapToGrid w:val="0"/>
        <w:spacing w:line="560" w:lineRule="exact"/>
        <w:ind w:firstLine="632" w:firstLineChars="200"/>
        <w:rPr>
          <w:rFonts w:ascii="仿宋_GB2312" w:hAnsi="仿宋" w:eastAsia="仿宋_GB2312" w:cs="FZFSK--GBK1-0"/>
          <w:kern w:val="0"/>
          <w:szCs w:val="32"/>
        </w:rPr>
      </w:pPr>
      <w:r>
        <w:rPr>
          <w:rFonts w:hint="eastAsia" w:ascii="仿宋_GB2312" w:eastAsia="仿宋_GB2312"/>
          <w:szCs w:val="32"/>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ascii="仿宋_GB2312" w:hAnsi="仿宋" w:eastAsia="仿宋_GB2312" w:cs="FZFSK--GBK1-0"/>
          <w:kern w:val="0"/>
          <w:szCs w:val="32"/>
        </w:rPr>
        <w:t>经集体研究，我局对你单位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rPr>
        <w:t>的违法行为作出以下处理决定：</w:t>
      </w:r>
    </w:p>
    <w:p>
      <w:pPr>
        <w:snapToGrid w:val="0"/>
        <w:spacing w:line="560" w:lineRule="exact"/>
        <w:ind w:firstLine="632" w:firstLineChars="200"/>
        <w:rPr>
          <w:rFonts w:ascii="仿宋_GB2312" w:hAnsi="仿宋" w:eastAsia="仿宋_GB2312" w:cs="FZFSK--GBK1-0"/>
          <w:kern w:val="0"/>
          <w:szCs w:val="32"/>
        </w:rPr>
      </w:pPr>
      <w:r>
        <w:rPr>
          <w:rFonts w:hint="eastAsia" w:ascii="仿宋_GB2312" w:hAnsi="仿宋" w:eastAsia="仿宋_GB2312" w:cs="FZFSK--GBK1-0"/>
          <w:kern w:val="0"/>
          <w:szCs w:val="32"/>
        </w:rPr>
        <w:t>处罚款</w:t>
      </w:r>
      <w:r>
        <w:rPr>
          <w:rFonts w:ascii="仿宋_GB2312" w:hAnsi="仿宋_GB2312" w:eastAsia="仿宋_GB2312" w:cs="仿宋_GB2312"/>
          <w:szCs w:val="32"/>
        </w:rPr>
        <w:t>27200</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032A3"/>
    <w:rsid w:val="00014739"/>
    <w:rsid w:val="00024A15"/>
    <w:rsid w:val="00044605"/>
    <w:rsid w:val="00056E5F"/>
    <w:rsid w:val="001765C1"/>
    <w:rsid w:val="00191646"/>
    <w:rsid w:val="001A1B21"/>
    <w:rsid w:val="001E3179"/>
    <w:rsid w:val="00234A6F"/>
    <w:rsid w:val="002665DA"/>
    <w:rsid w:val="002D6629"/>
    <w:rsid w:val="003B2B58"/>
    <w:rsid w:val="003F600F"/>
    <w:rsid w:val="00421D29"/>
    <w:rsid w:val="004A565C"/>
    <w:rsid w:val="004B5F41"/>
    <w:rsid w:val="005D6F7E"/>
    <w:rsid w:val="00691A1B"/>
    <w:rsid w:val="006A4734"/>
    <w:rsid w:val="00707FB4"/>
    <w:rsid w:val="00742710"/>
    <w:rsid w:val="007E1A62"/>
    <w:rsid w:val="00820E8C"/>
    <w:rsid w:val="00821C5C"/>
    <w:rsid w:val="00835826"/>
    <w:rsid w:val="00845CB1"/>
    <w:rsid w:val="00846B59"/>
    <w:rsid w:val="008A7B57"/>
    <w:rsid w:val="008D2118"/>
    <w:rsid w:val="008D385F"/>
    <w:rsid w:val="009748B5"/>
    <w:rsid w:val="009B34E6"/>
    <w:rsid w:val="00AC03B9"/>
    <w:rsid w:val="00AE1D83"/>
    <w:rsid w:val="00AE40ED"/>
    <w:rsid w:val="00AF688E"/>
    <w:rsid w:val="00B558AD"/>
    <w:rsid w:val="00C2109F"/>
    <w:rsid w:val="00C95EA9"/>
    <w:rsid w:val="00CE70AA"/>
    <w:rsid w:val="00D11C1F"/>
    <w:rsid w:val="00DF0060"/>
    <w:rsid w:val="00E8015B"/>
    <w:rsid w:val="00EB6757"/>
    <w:rsid w:val="00EE08C2"/>
    <w:rsid w:val="00F37F92"/>
    <w:rsid w:val="00FE4D05"/>
    <w:rsid w:val="19F64D87"/>
    <w:rsid w:val="2FFD7B5B"/>
    <w:rsid w:val="5CF604A5"/>
    <w:rsid w:val="7DFF57BE"/>
    <w:rsid w:val="7EC37E15"/>
    <w:rsid w:val="EACF0D4D"/>
    <w:rsid w:val="EADFE916"/>
    <w:rsid w:val="F3CD9294"/>
    <w:rsid w:val="FDFE55D8"/>
    <w:rsid w:val="FFFDC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283</Words>
  <Characters>1619</Characters>
  <Lines>13</Lines>
  <Paragraphs>3</Paragraphs>
  <TotalTime>2</TotalTime>
  <ScaleCrop>false</ScaleCrop>
  <LinksUpToDate>false</LinksUpToDate>
  <CharactersWithSpaces>1899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2024-01-18T00:31:00Z</dcterms:created>
  <dc:creator>Administrator</dc:creator>
  <cp:lastModifiedBy>sugon</cp:lastModifiedBy>
  <dcterms:modified xsi:type="dcterms:W3CDTF">2024-01-22T17:55:42Z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