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kern w:val="0"/>
          <w:sz w:val="44"/>
          <w:lang w:bidi="ar"/>
        </w:rPr>
      </w:pPr>
      <w:r>
        <w:rPr>
          <w:rFonts w:ascii="Calibri" w:hAnsi="Calibri" w:cs="Times New Roman"/>
          <w:b/>
          <w:color w:val="FF0000"/>
          <w:sz w:val="44"/>
          <w:szCs w:val="44"/>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690880</wp:posOffset>
                </wp:positionV>
                <wp:extent cx="5507990" cy="33020"/>
                <wp:effectExtent l="0" t="0" r="35560" b="24130"/>
                <wp:wrapNone/>
                <wp:docPr id="8" name="组合 8"/>
                <wp:cNvGraphicFramePr/>
                <a:graphic xmlns:a="http://schemas.openxmlformats.org/drawingml/2006/main">
                  <a:graphicData uri="http://schemas.microsoft.com/office/word/2010/wordprocessingGroup">
                    <wpg:wgp>
                      <wpg:cNvGrpSpPr/>
                      <wpg:grpSpPr>
                        <a:xfrm>
                          <a:off x="0" y="0"/>
                          <a:ext cx="5508000" cy="33020"/>
                          <a:chOff x="0" y="0"/>
                          <a:chExt cx="6120000" cy="33101"/>
                        </a:xfrm>
                        <a:effectLst/>
                      </wpg:grpSpPr>
                      <wps:wsp>
                        <wps:cNvPr id="2" name="Line 3"/>
                        <wps:cNvCnPr>
                          <a:cxnSpLocks noChangeShapeType="true"/>
                        </wps:cNvCnPr>
                        <wps:spPr bwMode="auto">
                          <a:xfrm flipV="true">
                            <a:off x="0" y="0"/>
                            <a:ext cx="6120000" cy="0"/>
                          </a:xfrm>
                          <a:prstGeom prst="line">
                            <a:avLst/>
                          </a:prstGeom>
                          <a:noFill/>
                          <a:ln w="25400">
                            <a:solidFill>
                              <a:srgbClr val="FF0000"/>
                            </a:solidFill>
                            <a:round/>
                          </a:ln>
                          <a:effectLst/>
                        </wps:spPr>
                        <wps:bodyPr/>
                      </wps:wsp>
                      <wps:wsp>
                        <wps:cNvPr id="3" name="Line 4"/>
                        <wps:cNvCnPr>
                          <a:cxnSpLocks noChangeShapeType="true"/>
                        </wps:cNvCnPr>
                        <wps:spPr bwMode="auto">
                          <a:xfrm flipV="true">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top:54.4pt;height:2.6pt;width:433.7pt;mso-position-horizontal:center;mso-position-horizontal-relative:margin;z-index:251659264;mso-width-relative:page;mso-height-relative:page;" coordsize="6120000,33101" o:gfxdata="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CHPB+3XAAAACAEAAA8AAAAAAAAAAQAgAAAAOAAAAGRycy9kb3ducmV2LnhtbFBLAQIUABQA&#10;AAAIAIdO4kBUpB+hTQIAAI4GAAAOAAAAAAAAAAEAIAAAADwBAABkcnMvZTJvRG9jLnhtbFBLBQYA&#10;AAAABgAGAFkBAAD7BQAAAAA=&#10;">
                <o:lock v:ext="edit" aspectratio="f"/>
                <v:line id="Line 3" o:spid="_x0000_s1026" o:spt="20" style="position:absolute;left:0;top:0;flip:y;height:0;width:6120000;" filled="f" stroked="t" coordsize="21600,21600" o:gfxdata="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&#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RwdJouQAAANoAAAAPAAAAAAAAAAEAIAAAADgAAABkcnMvZG93bnJldi54bWxQ&#10;SwECFAAUAAAACACHTuJAMy8FnjsAAAA5AAAAEAAAAAAAAAABACAAAAAeAQAAZHJzL3NoYXBleG1s&#10;LnhtbFBLBQYAAAAABgAGAFsBAADIAwAAAAA=&#10;">
                  <v:fill on="f" focussize="0,0"/>
                  <v:stroke weight="2pt" color="#FF0000" joinstyle="round"/>
                  <v:imagedata o:title=""/>
                  <o:lock v:ext="edit" aspectratio="f"/>
                </v:line>
                <v:line id="Line 4" o:spid="_x0000_s1026" o:spt="20" style="position:absolute;left:0;top:33101;flip:y;height:0;width:6120000;" filled="f" stroked="t" coordsize="21600,21600" o:gfxdata="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cdTULvAAAANoAAAAPAAAAAAAAAAEAIAAAADgAAABkcnMvZG93bnJldi54&#10;bWxQSwECFAAUAAAACACHTuJAMy8FnjsAAAA5AAAAEAAAAAAAAAABACAAAAAhAQAAZHJzL3NoYXBl&#10;eG1sLnhtbFBLBQYAAAAABgAGAFsBAADLAwAAAAA=&#10;">
                  <v:fill on="f" focussize="0,0"/>
                  <v:stroke color="#FF0000" joinstyle="round"/>
                  <v:imagedata o:title=""/>
                  <o:lock v:ext="edit" aspectratio="f"/>
                </v:line>
              </v:group>
            </w:pict>
          </mc:Fallback>
        </mc:AlternateContent>
      </w:r>
      <w:r>
        <w:rPr>
          <w:rFonts w:hint="eastAsia" w:ascii="方正小标宋简体" w:hAnsi="方正小标宋简体" w:eastAsia="方正小标宋简体" w:cs="方正小标宋简体"/>
          <w:color w:val="FF0000"/>
          <w:spacing w:val="68"/>
          <w:kern w:val="0"/>
          <w:sz w:val="72"/>
          <w:szCs w:val="72"/>
          <w:lang w:bidi="ar"/>
        </w:rPr>
        <w:t>安阳市生态环境局</w:t>
      </w:r>
    </w:p>
    <w:p>
      <w:pPr>
        <w:autoSpaceDE w:val="0"/>
        <w:autoSpaceDN w:val="0"/>
        <w:adjustRightInd w:val="0"/>
        <w:jc w:val="center"/>
        <w:rPr>
          <w:rFonts w:ascii="方正小标宋简体" w:hAnsi="仿宋" w:eastAsia="方正小标宋简体" w:cs="FZXBSK--GBK1-0"/>
          <w:kern w:val="0"/>
          <w:sz w:val="44"/>
          <w:szCs w:val="44"/>
        </w:rPr>
      </w:pPr>
      <w:r>
        <w:rPr>
          <w:rFonts w:hint="eastAsia" w:ascii="方正小标宋简体" w:hAnsi="仿宋" w:eastAsia="方正小标宋简体" w:cs="FZXBSK--GBK1-0"/>
          <w:kern w:val="0"/>
          <w:sz w:val="44"/>
          <w:szCs w:val="44"/>
        </w:rPr>
        <w:t>行政处罚决定书</w:t>
      </w:r>
    </w:p>
    <w:p>
      <w:pPr>
        <w:autoSpaceDE w:val="0"/>
        <w:autoSpaceDN w:val="0"/>
        <w:adjustRightInd w:val="0"/>
        <w:jc w:val="right"/>
        <w:rPr>
          <w:rFonts w:ascii="楷体" w:hAnsi="楷体" w:eastAsia="楷体" w:cs="FZFSK--GBK1-0"/>
          <w:kern w:val="0"/>
          <w:szCs w:val="32"/>
        </w:rPr>
      </w:pPr>
      <w:bookmarkStart w:id="0" w:name="_GoBack"/>
      <w:r>
        <w:rPr>
          <w:rFonts w:hint="eastAsia" w:ascii="楷体" w:hAnsi="楷体" w:eastAsia="楷体" w:cs="FZFSK--GBK1-0"/>
          <w:kern w:val="0"/>
          <w:szCs w:val="32"/>
        </w:rPr>
        <w:t>豫0501环罚决字〔202</w:t>
      </w:r>
      <w:r>
        <w:rPr>
          <w:rFonts w:hint="eastAsia" w:ascii="楷体" w:hAnsi="楷体" w:eastAsia="楷体" w:cs="FZFSK--GBK1-0"/>
          <w:kern w:val="0"/>
          <w:szCs w:val="32"/>
          <w:lang w:val="en-US" w:eastAsia="zh-CN"/>
        </w:rPr>
        <w:t>4</w:t>
      </w:r>
      <w:r>
        <w:rPr>
          <w:rFonts w:hint="eastAsia" w:ascii="楷体" w:hAnsi="楷体" w:eastAsia="楷体" w:cs="FZFSK--GBK1-0"/>
          <w:kern w:val="0"/>
          <w:szCs w:val="32"/>
        </w:rPr>
        <w:t>〕</w:t>
      </w:r>
      <w:r>
        <w:rPr>
          <w:rFonts w:hint="eastAsia" w:ascii="楷体" w:hAnsi="楷体" w:eastAsia="楷体" w:cs="FZFSK--GBK1-0"/>
          <w:kern w:val="0"/>
          <w:szCs w:val="32"/>
          <w:lang w:val="en-US" w:eastAsia="zh-CN"/>
        </w:rPr>
        <w:t>20</w:t>
      </w:r>
      <w:r>
        <w:rPr>
          <w:rFonts w:hint="eastAsia" w:ascii="楷体" w:hAnsi="楷体" w:eastAsia="楷体" w:cs="FZFSK--GBK1-0"/>
          <w:kern w:val="0"/>
          <w:szCs w:val="32"/>
        </w:rPr>
        <w:t>号</w:t>
      </w:r>
    </w:p>
    <w:bookmarkEnd w:id="0"/>
    <w:p>
      <w:pPr>
        <w:keepNext w:val="0"/>
        <w:keepLines w:val="0"/>
        <w:pageBreakBefore w:val="0"/>
        <w:widowControl w:val="0"/>
        <w:kinsoku/>
        <w:wordWrap/>
        <w:overflowPunct/>
        <w:topLinePunct w:val="0"/>
        <w:autoSpaceDE w:val="0"/>
        <w:autoSpaceDN/>
        <w:bidi w:val="0"/>
        <w:adjustRightInd w:val="0"/>
        <w:snapToGrid w:val="0"/>
        <w:spacing w:line="560" w:lineRule="exact"/>
        <w:jc w:val="both"/>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 xml:space="preserve">林州市东赵贺现铸造有限公司 </w:t>
      </w:r>
    </w:p>
    <w:p>
      <w:pPr>
        <w:keepNext w:val="0"/>
        <w:keepLines w:val="0"/>
        <w:pageBreakBefore w:val="0"/>
        <w:widowControl w:val="0"/>
        <w:kinsoku/>
        <w:wordWrap/>
        <w:overflowPunct/>
        <w:topLinePunct w:val="0"/>
        <w:autoSpaceDE w:val="0"/>
        <w:autoSpaceDN/>
        <w:bidi w:val="0"/>
        <w:adjustRightInd w:val="0"/>
        <w:snapToGrid w:val="0"/>
        <w:spacing w:line="560" w:lineRule="exact"/>
        <w:jc w:val="both"/>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 xml:space="preserve">统一社会信用代码：9141058175836158XX </w:t>
      </w:r>
    </w:p>
    <w:p>
      <w:pPr>
        <w:keepNext w:val="0"/>
        <w:keepLines w:val="0"/>
        <w:pageBreakBefore w:val="0"/>
        <w:widowControl w:val="0"/>
        <w:kinsoku/>
        <w:wordWrap/>
        <w:overflowPunct/>
        <w:topLinePunct w:val="0"/>
        <w:autoSpaceDE w:val="0"/>
        <w:autoSpaceDN/>
        <w:bidi w:val="0"/>
        <w:adjustRightInd w:val="0"/>
        <w:snapToGrid w:val="0"/>
        <w:spacing w:line="560" w:lineRule="exact"/>
        <w:jc w:val="both"/>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 xml:space="preserve">地址：林州市横水镇东赵 </w:t>
      </w:r>
    </w:p>
    <w:p>
      <w:pPr>
        <w:keepNext w:val="0"/>
        <w:keepLines w:val="0"/>
        <w:pageBreakBefore w:val="0"/>
        <w:widowControl w:val="0"/>
        <w:kinsoku/>
        <w:wordWrap/>
        <w:overflowPunct/>
        <w:topLinePunct w:val="0"/>
        <w:autoSpaceDE w:val="0"/>
        <w:autoSpaceDN/>
        <w:bidi w:val="0"/>
        <w:adjustRightInd w:val="0"/>
        <w:snapToGrid w:val="0"/>
        <w:spacing w:line="560" w:lineRule="exact"/>
        <w:jc w:val="both"/>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法定代表人：付素敏</w:t>
      </w:r>
    </w:p>
    <w:p>
      <w:pPr>
        <w:autoSpaceDE w:val="0"/>
        <w:autoSpaceDN w:val="0"/>
        <w:adjustRightInd w:val="0"/>
        <w:ind w:firstLine="632" w:firstLineChars="200"/>
        <w:rPr>
          <w:rFonts w:hint="eastAsia" w:ascii="黑体" w:hAnsi="黑体" w:eastAsia="黑体" w:cs="FZFSK--GBK1-0"/>
          <w:kern w:val="0"/>
          <w:szCs w:val="32"/>
        </w:rPr>
      </w:pPr>
      <w:r>
        <w:rPr>
          <w:rFonts w:hint="eastAsia" w:ascii="黑体" w:hAnsi="黑体" w:eastAsia="黑体" w:cs="FZFSK--GBK1-0"/>
          <w:kern w:val="0"/>
          <w:szCs w:val="32"/>
        </w:rPr>
        <w:t>一、环境违法事实和证据</w:t>
      </w:r>
    </w:p>
    <w:p>
      <w:pPr>
        <w:autoSpaceDE w:val="0"/>
        <w:autoSpaceDN w:val="0"/>
        <w:adjustRightInd w:val="0"/>
        <w:ind w:firstLine="632" w:firstLineChars="200"/>
        <w:rPr>
          <w:rFonts w:ascii="仿宋" w:hAnsi="仿宋" w:cs="FZFSK--GBK1-0"/>
          <w:kern w:val="0"/>
          <w:szCs w:val="32"/>
        </w:rPr>
      </w:pPr>
      <w:r>
        <w:rPr>
          <w:rFonts w:hint="eastAsia" w:ascii="仿宋" w:hAnsi="仿宋" w:cs="FZFSK--GBK1-0"/>
          <w:kern w:val="0"/>
          <w:szCs w:val="32"/>
          <w:lang w:val="en-US" w:eastAsia="zh-CN"/>
        </w:rPr>
        <w:t>我局于2023年9月11日、13日对你单位进行了调查，发现你单位实施了以下环境违法行为：经我局执法人员2023年9月11、13日现场检查、调查询问，发现你单位2023年9月4日23时至9月5日6 时，中频电炉废气排放口（排污许可证编号DA001）颗粒物自动监测数据小时均值为42.06-62.28mg/立方米，超过《工业炉窑大气污染物排放标准 DB41/1066-2020》10mg/立方米排放限值。你单位提交了《关于电炉排放口数据超标情况说明》：2023年9月5日6点半左右，接第三方运维公司通知电炉排放数据超标后第一时间停炉。8点半左右与运维人员排查，最终确定2个除尘袋由于吸入火星造成除尘袋燃烧出现破损，9月6日下午5点检修更换完毕。事发后进行了报告。6日晚间恢复生产，排放指标恢复正常。</w:t>
      </w:r>
      <w:r>
        <w:rPr>
          <w:rFonts w:hint="eastAsia" w:ascii="仿宋" w:hAnsi="仿宋" w:eastAsia="仿宋_GB2312" w:cs="楷体"/>
          <w:szCs w:val="32"/>
          <w:lang w:eastAsia="zh-CN"/>
        </w:rPr>
        <w:t>事</w:t>
      </w:r>
      <w:r>
        <w:rPr>
          <w:rFonts w:hint="eastAsia" w:ascii="仿宋" w:hAnsi="仿宋" w:eastAsia="仿宋_GB2312" w:cs="楷体"/>
          <w:szCs w:val="32"/>
        </w:rPr>
        <w:t>后企业</w:t>
      </w:r>
      <w:r>
        <w:rPr>
          <w:rFonts w:hint="eastAsia" w:ascii="仿宋" w:hAnsi="仿宋" w:eastAsia="仿宋_GB2312" w:cs="楷体"/>
          <w:szCs w:val="32"/>
          <w:lang w:eastAsia="zh-CN"/>
        </w:rPr>
        <w:t>停产并对全厂环保设备进行</w:t>
      </w:r>
      <w:r>
        <w:rPr>
          <w:rFonts w:hint="eastAsia" w:ascii="仿宋" w:hAnsi="仿宋" w:eastAsia="仿宋_GB2312" w:cs="楷体"/>
          <w:szCs w:val="32"/>
        </w:rPr>
        <w:t>维检，安装</w:t>
      </w:r>
      <w:r>
        <w:rPr>
          <w:rFonts w:hint="eastAsia" w:ascii="仿宋" w:hAnsi="仿宋" w:eastAsia="仿宋_GB2312" w:cs="楷体"/>
          <w:szCs w:val="32"/>
          <w:lang w:eastAsia="zh-CN"/>
        </w:rPr>
        <w:t>了</w:t>
      </w:r>
      <w:r>
        <w:rPr>
          <w:rFonts w:hint="eastAsia" w:ascii="仿宋" w:hAnsi="仿宋" w:eastAsia="仿宋_GB2312" w:cs="楷体"/>
          <w:szCs w:val="32"/>
        </w:rPr>
        <w:t>数据超标报警系统</w:t>
      </w:r>
      <w:r>
        <w:rPr>
          <w:rFonts w:hint="eastAsia" w:ascii="仿宋" w:hAnsi="仿宋" w:eastAsia="仿宋_GB2312" w:cs="楷体"/>
          <w:szCs w:val="32"/>
          <w:lang w:eastAsia="zh-CN"/>
        </w:rPr>
        <w:t>，同时在除尘系统安装</w:t>
      </w:r>
      <w:r>
        <w:rPr>
          <w:rFonts w:hint="eastAsia" w:ascii="仿宋" w:hAnsi="仿宋" w:eastAsia="仿宋_GB2312" w:cs="楷体"/>
          <w:szCs w:val="32"/>
        </w:rPr>
        <w:t>差压计。</w:t>
      </w:r>
    </w:p>
    <w:p>
      <w:pPr>
        <w:autoSpaceDE w:val="0"/>
        <w:autoSpaceDN w:val="0"/>
        <w:adjustRightInd w:val="0"/>
        <w:ind w:firstLine="632" w:firstLineChars="200"/>
        <w:rPr>
          <w:rFonts w:ascii="仿宋" w:hAnsi="仿宋" w:cs="FZFSK--GBK1-0"/>
          <w:kern w:val="0"/>
          <w:szCs w:val="32"/>
        </w:rPr>
      </w:pPr>
      <w:r>
        <w:rPr>
          <w:rFonts w:hint="eastAsia" w:ascii="仿宋" w:hAnsi="仿宋" w:cs="FZFSK--GBK1-0"/>
          <w:kern w:val="0"/>
          <w:szCs w:val="32"/>
        </w:rPr>
        <w:t>你单位的上述行为违反了</w:t>
      </w:r>
      <w:r>
        <w:rPr>
          <w:rFonts w:hint="eastAsia" w:ascii="仿宋" w:hAnsi="仿宋" w:cs="FZFSK--GBK1-0"/>
          <w:kern w:val="0"/>
          <w:szCs w:val="32"/>
          <w:lang w:val="en-US" w:eastAsia="zh-CN"/>
        </w:rPr>
        <w:t>《中华人民共和国大气污染防治法》 第十八条“企业事业单位和其他生产经营者建设对大气环境有影 响的项目，应当依法进行环境影响评价、公开环境影响评价文件； 向大气排放污染物的，应当符合大气污染物排放标准，遵守重点 大气污染物排放总量控制要求。”</w:t>
      </w:r>
      <w:r>
        <w:rPr>
          <w:rFonts w:hint="eastAsia" w:ascii="仿宋" w:hAnsi="仿宋" w:cs="FZFSK--GBK1-0"/>
          <w:kern w:val="0"/>
          <w:szCs w:val="32"/>
        </w:rPr>
        <w:t>的规定。</w:t>
      </w:r>
    </w:p>
    <w:p>
      <w:pPr>
        <w:autoSpaceDE w:val="0"/>
        <w:autoSpaceDN w:val="0"/>
        <w:adjustRightInd w:val="0"/>
        <w:ind w:firstLine="632" w:firstLineChars="200"/>
        <w:rPr>
          <w:rFonts w:hint="eastAsia" w:ascii="仿宋" w:hAnsi="仿宋" w:cs="FZFSK--GBK1-0"/>
          <w:kern w:val="0"/>
          <w:szCs w:val="32"/>
        </w:rPr>
      </w:pPr>
      <w:r>
        <w:rPr>
          <w:rFonts w:hint="eastAsia" w:ascii="仿宋" w:hAnsi="仿宋" w:cs="FZFSK--GBK1-0"/>
          <w:kern w:val="0"/>
          <w:szCs w:val="32"/>
        </w:rPr>
        <w:t>以上事实，有</w:t>
      </w:r>
      <w:r>
        <w:rPr>
          <w:rFonts w:hint="eastAsia" w:ascii="仿宋" w:hAnsi="仿宋" w:cs="FZFSK--GBK1-0"/>
          <w:kern w:val="0"/>
          <w:szCs w:val="32"/>
          <w:lang w:val="en-US" w:eastAsia="zh-CN"/>
        </w:rPr>
        <w:t>照片；生产台账；电炉除尘设施运行台账；环保设备巡查记录表；排污许可证（摘录）；自动监控设施现场核查意见；在线监测设施校准记录表；在线监测设备日常巡检维护记录表；关于电炉排放口数据超标情况说明；现场检查（勘察）笔录；调查询问笔录；法定代表人身份证复印件；授权委托书；被询问人身份证复印件；营业执照复印件</w:t>
      </w:r>
      <w:r>
        <w:rPr>
          <w:rFonts w:hint="eastAsia" w:ascii="仿宋" w:hAnsi="仿宋" w:eastAsia="仿宋" w:cs="仿宋"/>
          <w:sz w:val="32"/>
          <w:szCs w:val="32"/>
          <w:u w:val="none"/>
          <w:lang w:eastAsia="zh-CN"/>
        </w:rPr>
        <w:t>等证据</w:t>
      </w:r>
      <w:r>
        <w:rPr>
          <w:rFonts w:hint="eastAsia" w:ascii="仿宋" w:hAnsi="仿宋" w:cs="FZFSK--GBK1-0"/>
          <w:kern w:val="0"/>
          <w:szCs w:val="32"/>
        </w:rPr>
        <w:t>为凭。</w:t>
      </w:r>
    </w:p>
    <w:p>
      <w:pPr>
        <w:autoSpaceDE w:val="0"/>
        <w:autoSpaceDN w:val="0"/>
        <w:adjustRightInd w:val="0"/>
        <w:ind w:firstLine="632" w:firstLineChars="200"/>
        <w:rPr>
          <w:rFonts w:hint="default" w:ascii="仿宋" w:hAnsi="仿宋" w:eastAsia="仿宋_GB2312" w:cs="FZFSK--GBK1-0"/>
          <w:kern w:val="0"/>
          <w:szCs w:val="32"/>
          <w:lang w:val="en-US" w:eastAsia="zh-CN"/>
        </w:rPr>
      </w:pPr>
      <w:r>
        <w:rPr>
          <w:rFonts w:hint="eastAsia" w:ascii="仿宋_GB2312" w:hAnsi="仿宋_GB2312" w:eastAsia="仿宋_GB2312" w:cs="仿宋_GB2312"/>
          <w:color w:val="auto"/>
          <w:sz w:val="32"/>
          <w:szCs w:val="32"/>
          <w:lang w:val="en-US" w:eastAsia="zh-CN"/>
        </w:rPr>
        <w:t>我局于2023年12月8日送达你单位《行政处罚事先（听证）告知书》（豫0501环罚告字〔2023〕36号），</w:t>
      </w:r>
      <w:r>
        <w:rPr>
          <w:rFonts w:hint="eastAsia" w:ascii="仿宋" w:hAnsi="仿宋" w:cs="FZFSK--GBK1-0"/>
          <w:kern w:val="0"/>
          <w:szCs w:val="32"/>
          <w:lang w:val="en-US" w:eastAsia="zh-CN"/>
        </w:rPr>
        <w:t>你单位2023年12月12日提交了《行政处罚听证申请书》。</w:t>
      </w:r>
      <w:r>
        <w:rPr>
          <w:rFonts w:hint="eastAsia" w:ascii="仿宋_GB2312" w:hAnsi="仿宋_GB2312" w:eastAsia="仿宋_GB2312" w:cs="仿宋_GB2312"/>
          <w:color w:val="auto"/>
          <w:sz w:val="32"/>
          <w:szCs w:val="32"/>
          <w:lang w:val="en-US" w:eastAsia="zh-CN"/>
        </w:rPr>
        <w:t>2023年12月22日，我局送达你单位《行政处罚听证通知书》（豫0501环听通字〔2023〕2号）。</w:t>
      </w:r>
      <w:r>
        <w:rPr>
          <w:rFonts w:hint="eastAsia" w:ascii="仿宋" w:hAnsi="仿宋" w:cs="FZFSK--GBK1-0"/>
          <w:kern w:val="0"/>
          <w:szCs w:val="32"/>
          <w:lang w:val="en-US" w:eastAsia="zh-CN"/>
        </w:rPr>
        <w:t>2024年1月4日</w:t>
      </w:r>
      <w:r>
        <w:rPr>
          <w:rFonts w:hint="eastAsia" w:ascii="仿宋_GB2312" w:hAnsi="仿宋_GB2312" w:eastAsia="仿宋_GB2312" w:cs="仿宋_GB2312"/>
          <w:color w:val="auto"/>
          <w:sz w:val="32"/>
          <w:szCs w:val="32"/>
          <w:lang w:val="en-US" w:eastAsia="zh-CN"/>
        </w:rPr>
        <w:t>，我局组织召开了公开听证会。你单位听证意见主要内容：</w:t>
      </w:r>
      <w:r>
        <w:rPr>
          <w:rFonts w:hint="eastAsia" w:ascii="仿宋" w:hAnsi="仿宋" w:eastAsia="仿宋_GB2312" w:cs="Arial"/>
          <w:szCs w:val="32"/>
        </w:rPr>
        <w:t>一是承认违法事实，但企业无主观过错，系不可抗力造成，事发后及时查找原因检修，防止此类现象发生；二是企业从未受过行政处罚，短时超标未造成严重后果，三是事发后及时进行报告，作为小微</w:t>
      </w:r>
      <w:r>
        <w:rPr>
          <w:rFonts w:hint="eastAsia" w:ascii="仿宋" w:hAnsi="仿宋" w:eastAsia="仿宋_GB2312" w:cs="Arial"/>
          <w:szCs w:val="32"/>
          <w:lang w:eastAsia="zh-CN"/>
        </w:rPr>
        <w:t>企业、</w:t>
      </w:r>
      <w:r>
        <w:rPr>
          <w:rFonts w:hint="eastAsia" w:ascii="仿宋" w:hAnsi="仿宋" w:eastAsia="仿宋_GB2312" w:cs="Arial"/>
          <w:szCs w:val="32"/>
        </w:rPr>
        <w:t>非重点</w:t>
      </w:r>
      <w:r>
        <w:rPr>
          <w:rFonts w:hint="eastAsia" w:ascii="仿宋" w:hAnsi="仿宋" w:eastAsia="仿宋_GB2312" w:cs="Arial"/>
          <w:szCs w:val="32"/>
          <w:lang w:eastAsia="zh-CN"/>
        </w:rPr>
        <w:t>排污单位</w:t>
      </w:r>
      <w:r>
        <w:rPr>
          <w:rFonts w:hint="eastAsia" w:ascii="仿宋" w:hAnsi="仿宋" w:eastAsia="仿宋_GB2312" w:cs="Arial"/>
          <w:szCs w:val="32"/>
        </w:rPr>
        <w:t>，升级了环保设备，进行了在线设备安装，尽到了环保责任，希望免予处罚。</w:t>
      </w:r>
    </w:p>
    <w:p>
      <w:pPr>
        <w:autoSpaceDE w:val="0"/>
        <w:autoSpaceDN w:val="0"/>
        <w:adjustRightInd w:val="0"/>
        <w:ind w:firstLine="632" w:firstLineChars="200"/>
        <w:rPr>
          <w:rFonts w:hint="eastAsia" w:ascii="仿宋" w:hAnsi="仿宋" w:cs="FZFSK--GBK1-0"/>
          <w:kern w:val="0"/>
          <w:szCs w:val="32"/>
        </w:rPr>
      </w:pPr>
      <w:r>
        <w:rPr>
          <w:rFonts w:hint="eastAsia" w:ascii="仿宋" w:hAnsi="仿宋" w:cs="FZFSK--GBK1-0"/>
          <w:kern w:val="0"/>
          <w:szCs w:val="32"/>
        </w:rPr>
        <w:t>以上事实有</w:t>
      </w:r>
      <w:r>
        <w:rPr>
          <w:rFonts w:hint="eastAsia" w:ascii="仿宋_GB2312" w:hAnsi="仿宋_GB2312" w:eastAsia="仿宋_GB2312" w:cs="仿宋_GB2312"/>
          <w:color w:val="auto"/>
          <w:sz w:val="32"/>
          <w:szCs w:val="32"/>
          <w:lang w:val="en-US" w:eastAsia="zh-CN"/>
        </w:rPr>
        <w:t>《行政处罚事先（听证）告知书》（豫0501环罚告字〔2023〕36号）及送达回证、</w:t>
      </w:r>
      <w:r>
        <w:rPr>
          <w:rFonts w:hint="eastAsia" w:ascii="仿宋" w:hAnsi="仿宋" w:cs="FZFSK--GBK1-0"/>
          <w:kern w:val="0"/>
          <w:szCs w:val="32"/>
          <w:lang w:val="en-US" w:eastAsia="zh-CN"/>
        </w:rPr>
        <w:t>《行政处罚听证申请书》、</w:t>
      </w:r>
      <w:r>
        <w:rPr>
          <w:rFonts w:hint="eastAsia" w:ascii="仿宋_GB2312" w:hAnsi="仿宋_GB2312" w:eastAsia="仿宋_GB2312" w:cs="仿宋_GB2312"/>
          <w:color w:val="auto"/>
          <w:sz w:val="32"/>
          <w:szCs w:val="32"/>
          <w:lang w:val="en-US" w:eastAsia="zh-CN"/>
        </w:rPr>
        <w:t>《行政处罚听证通知书》（豫0501环听通字〔2023〕2号）及</w:t>
      </w:r>
      <w:r>
        <w:rPr>
          <w:rFonts w:hint="eastAsia" w:ascii="仿宋" w:hAnsi="仿宋" w:cs="FZFSK--GBK1-0"/>
          <w:kern w:val="0"/>
          <w:szCs w:val="32"/>
        </w:rPr>
        <w:t>送达回证</w:t>
      </w:r>
      <w:r>
        <w:rPr>
          <w:rFonts w:hint="eastAsia" w:ascii="仿宋" w:hAnsi="仿宋" w:cs="FZFSK--GBK1-0"/>
          <w:kern w:val="0"/>
          <w:szCs w:val="32"/>
          <w:lang w:eastAsia="zh-CN"/>
        </w:rPr>
        <w:t>、听证笔录等</w:t>
      </w:r>
      <w:r>
        <w:rPr>
          <w:rFonts w:hint="eastAsia" w:ascii="仿宋" w:hAnsi="仿宋" w:cs="FZFSK--GBK1-0"/>
          <w:kern w:val="0"/>
          <w:szCs w:val="32"/>
        </w:rPr>
        <w:t>为证。</w:t>
      </w:r>
    </w:p>
    <w:p>
      <w:pPr>
        <w:autoSpaceDE w:val="0"/>
        <w:autoSpaceDN w:val="0"/>
        <w:adjustRightInd w:val="0"/>
        <w:ind w:firstLine="632" w:firstLineChars="200"/>
        <w:rPr>
          <w:rFonts w:hint="eastAsia" w:ascii="仿宋" w:hAnsi="仿宋" w:cs="FZFSK--GBK1-0"/>
          <w:kern w:val="0"/>
          <w:szCs w:val="32"/>
          <w:lang w:val="en-US" w:eastAsia="zh-CN"/>
        </w:rPr>
      </w:pPr>
      <w:r>
        <w:rPr>
          <w:rFonts w:hint="eastAsia" w:ascii="仿宋" w:hAnsi="仿宋" w:cs="FZFSK--GBK1-0"/>
          <w:kern w:val="0"/>
          <w:szCs w:val="32"/>
          <w:lang w:eastAsia="zh-CN"/>
        </w:rPr>
        <w:t>我局复核后认为：你单位</w:t>
      </w:r>
      <w:r>
        <w:rPr>
          <w:rFonts w:hint="eastAsia" w:ascii="仿宋" w:hAnsi="仿宋" w:cs="FZFSK--GBK1-0"/>
          <w:kern w:val="0"/>
          <w:szCs w:val="32"/>
          <w:lang w:val="en-US" w:eastAsia="zh-CN"/>
        </w:rPr>
        <w:t>2023年9月4日23时至9月5日6 时，颗粒物自动监测数据小时均值为42.06-62.28mg/立方米，超过《工业炉窑大气污染物排放标准DB41/1066-2020》10mg/立方米排放限值</w:t>
      </w:r>
      <w:r>
        <w:rPr>
          <w:rFonts w:hint="eastAsia" w:ascii="仿宋" w:hAnsi="仿宋" w:cs="仿宋"/>
          <w:sz w:val="32"/>
          <w:szCs w:val="32"/>
          <w:u w:val="none"/>
          <w:lang w:val="en-US" w:eastAsia="zh-CN"/>
        </w:rPr>
        <w:t>，</w:t>
      </w:r>
      <w:r>
        <w:rPr>
          <w:rFonts w:hint="eastAsia" w:ascii="仿宋" w:hAnsi="仿宋" w:cs="FZFSK--GBK1-0"/>
          <w:kern w:val="0"/>
          <w:szCs w:val="32"/>
          <w:lang w:eastAsia="zh-CN"/>
        </w:rPr>
        <w:t>构成环境违法行为，依法应当予以行政处罚。按照《排污许可证申请与核发技术规范金属铸造工业</w:t>
      </w:r>
      <w:r>
        <w:rPr>
          <w:rFonts w:hint="eastAsia" w:ascii="仿宋" w:hAnsi="仿宋" w:cs="FZFSK--GBK1-0"/>
          <w:kern w:val="0"/>
          <w:szCs w:val="32"/>
          <w:lang w:val="en-US" w:eastAsia="zh-CN"/>
        </w:rPr>
        <w:t>HJ1115-2020</w:t>
      </w:r>
      <w:r>
        <w:rPr>
          <w:rFonts w:hint="eastAsia" w:ascii="仿宋" w:hAnsi="仿宋" w:cs="FZFSK--GBK1-0"/>
          <w:kern w:val="0"/>
          <w:szCs w:val="32"/>
          <w:lang w:eastAsia="zh-CN"/>
        </w:rPr>
        <w:t>》“</w:t>
      </w:r>
      <w:r>
        <w:rPr>
          <w:rFonts w:hint="eastAsia" w:ascii="仿宋" w:hAnsi="仿宋" w:cs="FZFSK--GBK1-0"/>
          <w:kern w:val="0"/>
          <w:szCs w:val="32"/>
          <w:lang w:val="en-US" w:eastAsia="zh-CN"/>
        </w:rPr>
        <w:t>4.3.4.2废气b)3)加强除尘设备巡检，消除设备隐患，保证正常运行。布袋除尘器应安装查压计，及时更换布袋除尘器滤袋，保证滤袋完整无破损。”</w:t>
      </w:r>
      <w:r>
        <w:rPr>
          <w:rFonts w:hint="eastAsia" w:ascii="仿宋" w:hAnsi="仿宋" w:cs="FZFSK--GBK1-0"/>
          <w:kern w:val="0"/>
          <w:szCs w:val="32"/>
          <w:lang w:eastAsia="zh-CN"/>
        </w:rPr>
        <w:t>，你单位布袋</w:t>
      </w:r>
      <w:r>
        <w:rPr>
          <w:rFonts w:hint="eastAsia" w:ascii="仿宋" w:hAnsi="仿宋" w:cs="FZFSK--GBK1-0"/>
          <w:kern w:val="0"/>
          <w:szCs w:val="32"/>
          <w:lang w:val="en-US" w:eastAsia="zh-CN"/>
        </w:rPr>
        <w:t>除尘器应安装查压计，保障布袋除尘器正常运行。你单位所称没有主观过错不能成立。鉴于你单位在接到第三方运维公司通知超标后第一时间对超标原因进行排查整改，向林州分局进行报告，并加装查压计和数据超标报警系统。按照《中华人民共和国行政处罚法》第五条第一款、第二款“行政处罚遵循公正、公开的原则。设定和实施行政处罚必须以事实为依据，与违法行为的事实、性质、情节以及社会危害程度相当”、第六条“实施行政处罚，纠正违法行为，应当坚持处罚与教育相结合，教育公民、法人或者其他组织自觉守法”、第三十二条第一项“当事人有下列情形之一，应当从轻或者减轻行政处罚:（一）主动消除或者减轻违法行为危害后果的”的规定，可减轻予以行政处罚。</w:t>
      </w:r>
    </w:p>
    <w:p>
      <w:pPr>
        <w:autoSpaceDE w:val="0"/>
        <w:autoSpaceDN w:val="0"/>
        <w:adjustRightInd w:val="0"/>
        <w:ind w:firstLine="632" w:firstLineChars="200"/>
        <w:rPr>
          <w:rFonts w:ascii="黑体" w:hAnsi="黑体" w:eastAsia="黑体" w:cs="FZFSK--GBK1-0"/>
          <w:kern w:val="0"/>
          <w:szCs w:val="32"/>
        </w:rPr>
      </w:pPr>
      <w:r>
        <w:rPr>
          <w:rFonts w:hint="eastAsia" w:ascii="黑体" w:hAnsi="黑体" w:eastAsia="黑体" w:cs="FZFSK--GBK1-0"/>
          <w:kern w:val="0"/>
          <w:szCs w:val="32"/>
        </w:rPr>
        <w:t>二、行政处罚的依据、种类</w:t>
      </w:r>
    </w:p>
    <w:p>
      <w:pPr>
        <w:autoSpaceDE w:val="0"/>
        <w:autoSpaceDN w:val="0"/>
        <w:adjustRightInd w:val="0"/>
        <w:ind w:firstLine="632" w:firstLineChars="200"/>
        <w:rPr>
          <w:rFonts w:hint="eastAsia" w:ascii="仿宋" w:hAnsi="仿宋" w:cs="FZFSK--GBK1-0"/>
          <w:kern w:val="0"/>
          <w:szCs w:val="32"/>
          <w:lang w:val="en-US" w:eastAsia="zh-CN"/>
        </w:rPr>
      </w:pPr>
      <w:r>
        <w:rPr>
          <w:rFonts w:hint="eastAsia" w:ascii="仿宋" w:hAnsi="仿宋" w:cs="FZFSK--GBK1-0"/>
          <w:kern w:val="0"/>
          <w:szCs w:val="32"/>
        </w:rPr>
        <w:t>根据你单位违法行为的事实、性质、情节、社会危害程度和相关证据，参照《河南省生态环境行政处罚裁量基准》：</w:t>
      </w:r>
      <w:r>
        <w:rPr>
          <w:rFonts w:hint="eastAsia" w:ascii="仿宋" w:hAnsi="仿宋" w:cs="FZFSK--GBK1-0"/>
          <w:kern w:val="0"/>
          <w:szCs w:val="32"/>
          <w:lang w:val="en-US" w:eastAsia="zh-CN"/>
        </w:rPr>
        <w:t>首要裁量因素：违法事实，内容：超标3倍以上，裁量等级：5；裁量因素：企业规模，内容：微型企业，裁量等级：1；裁量因素：管理类别，内容：简化管理，裁量等级：2； 裁量因素：违法行为发生时期环境敏感度，内容：一般期间，裁量等级：1；裁量因素： 废气类别，内容：一般工业废气/含恶臭污染物的废气/医疗废气/ 实验室废气，裁量等级：3 ；裁量因素：超标因子数量，内容：1个，裁量等级：1；裁量因素：小时烟气流量，内容：1000标立方米以上1万标立方米以下，裁量等级：2；裁量因素：受处罚次数，内容：两年内未受到过同类处罚，裁量等级：1；裁量因素：是否配合执法检查，内容：配合检查，裁量等级：1.法定处罚金额上限(M)：1000000，法定处罚金额下限(N)：100000，首要裁量因素裁量等级 (A)：5，其余裁量因素个数(n)：8，其余裁量因素裁量等级(Bi)：[1,2,1,3,1,2,1,1]，</w:t>
      </w:r>
      <w:r>
        <w:rPr>
          <w:rFonts w:hint="eastAsia" w:ascii="方正仿宋_GBK" w:hAnsi="方正仿宋_GBK" w:eastAsia="方正仿宋_GBK" w:cs="方正仿宋_GBK"/>
          <w:sz w:val="32"/>
          <w:szCs w:val="32"/>
          <w:u w:val="none"/>
          <w:lang w:val="en-US" w:eastAsia="zh-CN"/>
        </w:rPr>
        <w:t>处罚金额(X)：</w:t>
      </w:r>
      <w:r>
        <w:rPr>
          <w:rFonts w:hint="eastAsia" w:ascii="仿宋" w:hAnsi="仿宋" w:cs="FZFSK--GBK1-0"/>
          <w:kern w:val="0"/>
          <w:szCs w:val="32"/>
          <w:lang w:val="en-US" w:eastAsia="zh-CN"/>
        </w:rPr>
        <w:t>599500元。代入公式：599500=100000+ (1000000-100000)x[5X5/5X5+（1X1+2X2+1X1</w:t>
      </w:r>
    </w:p>
    <w:p>
      <w:pPr>
        <w:autoSpaceDE w:val="0"/>
        <w:autoSpaceDN w:val="0"/>
        <w:adjustRightInd w:val="0"/>
        <w:jc w:val="left"/>
        <w:rPr>
          <w:rFonts w:ascii="仿宋" w:hAnsi="仿宋" w:cs="FZFSK--GBK1-0"/>
          <w:kern w:val="0"/>
          <w:szCs w:val="32"/>
        </w:rPr>
      </w:pPr>
      <w:r>
        <w:rPr>
          <w:rFonts w:hint="eastAsia" w:ascii="仿宋" w:hAnsi="仿宋" w:cs="FZFSK--GBK1-0"/>
          <w:kern w:val="0"/>
          <w:szCs w:val="32"/>
          <w:lang w:val="en-US" w:eastAsia="zh-CN"/>
        </w:rPr>
        <w:t>+3X3+1X1+2X2+1X1+1X1）/5X5X8] ，自定义裁量计算值：-479600，最终裁量金额：119900元</w:t>
      </w:r>
      <w:r>
        <w:rPr>
          <w:rFonts w:hint="eastAsia" w:ascii="方正仿宋_GBK" w:hAnsi="方正仿宋_GBK" w:eastAsia="方正仿宋_GBK" w:cs="方正仿宋_GBK"/>
          <w:sz w:val="32"/>
          <w:szCs w:val="32"/>
          <w:u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50" w:lineRule="exact"/>
        <w:ind w:firstLine="632" w:firstLineChars="200"/>
        <w:textAlignment w:val="auto"/>
        <w:rPr>
          <w:rFonts w:ascii="仿宋" w:hAnsi="仿宋" w:cs="FZFSK--GBK1-0"/>
          <w:kern w:val="0"/>
          <w:szCs w:val="32"/>
        </w:rPr>
      </w:pPr>
      <w:r>
        <w:rPr>
          <w:rFonts w:hint="eastAsia" w:ascii="仿宋" w:hAnsi="仿宋" w:cs="FZFSK--GBK1-0"/>
          <w:kern w:val="0"/>
          <w:szCs w:val="32"/>
        </w:rPr>
        <w:t>根据</w:t>
      </w:r>
      <w:r>
        <w:rPr>
          <w:rFonts w:hint="eastAsia" w:ascii="仿宋" w:hAnsi="仿宋" w:cs="FZFSK--GBK1-0"/>
          <w:kern w:val="0"/>
          <w:szCs w:val="32"/>
          <w:lang w:val="en-US" w:eastAsia="zh-CN"/>
        </w:rPr>
        <w:t>《中华人民共和国大气污染防治法》第九十九条第二项 “违反本法规定，有下列行为之一的，由县级以上人民政府生态 环境主管部门责令改正或者限制生产、停产整治，并处十万元以 上一百万元以下的罚款；情节严重的，报经有批准权的人民政府 批准，责令停业、关闭：（二）超过大气污染物排放标准或者超过重点大气污染物排放总量控制指标排放大气污染物的；”</w:t>
      </w:r>
      <w:r>
        <w:rPr>
          <w:rFonts w:hint="eastAsia" w:ascii="仿宋" w:hAnsi="仿宋" w:cs="FZFSK--GBK1-0"/>
          <w:kern w:val="0"/>
          <w:szCs w:val="32"/>
        </w:rPr>
        <w:t>的规定，经集体研究，我局对你单位</w:t>
      </w:r>
      <w:r>
        <w:rPr>
          <w:rFonts w:hint="eastAsia" w:ascii="仿宋" w:hAnsi="仿宋" w:cs="FZFSK--GBK1-0"/>
          <w:kern w:val="0"/>
          <w:szCs w:val="32"/>
          <w:lang w:val="en-US" w:eastAsia="zh-CN"/>
        </w:rPr>
        <w:t>超过大气污染物排放标准排放大气污染物</w:t>
      </w:r>
      <w:r>
        <w:rPr>
          <w:rFonts w:hint="eastAsia" w:ascii="仿宋" w:hAnsi="仿宋" w:cs="FZFSK--GBK1-0"/>
          <w:kern w:val="0"/>
          <w:szCs w:val="32"/>
        </w:rPr>
        <w:t>的违法行为作出以下处理决定：</w:t>
      </w:r>
    </w:p>
    <w:p>
      <w:pPr>
        <w:keepNext w:val="0"/>
        <w:keepLines w:val="0"/>
        <w:pageBreakBefore w:val="0"/>
        <w:widowControl w:val="0"/>
        <w:kinsoku/>
        <w:wordWrap/>
        <w:overflowPunct/>
        <w:topLinePunct w:val="0"/>
        <w:bidi w:val="0"/>
        <w:snapToGrid w:val="0"/>
        <w:spacing w:line="550" w:lineRule="exact"/>
        <w:ind w:firstLine="632" w:firstLineChars="200"/>
        <w:textAlignment w:val="auto"/>
        <w:rPr>
          <w:rFonts w:ascii="仿宋" w:hAnsi="仿宋" w:cs="FZFSK--GBK1-0"/>
          <w:kern w:val="0"/>
          <w:szCs w:val="32"/>
        </w:rPr>
      </w:pPr>
      <w:r>
        <w:rPr>
          <w:rFonts w:hint="eastAsia" w:ascii="仿宋" w:hAnsi="仿宋" w:cs="FZFSK--GBK1-0"/>
          <w:kern w:val="0"/>
          <w:szCs w:val="32"/>
          <w:lang w:eastAsia="zh-CN"/>
        </w:rPr>
        <w:t>减轻</w:t>
      </w:r>
      <w:r>
        <w:rPr>
          <w:rFonts w:hint="eastAsia" w:ascii="仿宋" w:hAnsi="仿宋" w:cs="FZFSK--GBK1-0"/>
          <w:kern w:val="0"/>
          <w:szCs w:val="32"/>
        </w:rPr>
        <w:t>处罚款</w:t>
      </w:r>
      <w:r>
        <w:rPr>
          <w:rFonts w:hint="eastAsia" w:ascii="仿宋" w:hAnsi="仿宋" w:cs="FZFSK--GBK1-0"/>
          <w:kern w:val="0"/>
          <w:szCs w:val="32"/>
          <w:lang w:val="en-US" w:eastAsia="zh-CN"/>
        </w:rPr>
        <w:t>119900</w:t>
      </w:r>
      <w:r>
        <w:rPr>
          <w:rFonts w:hint="eastAsia" w:ascii="仿宋" w:hAnsi="仿宋" w:cs="FZFSK--GBK1-0"/>
          <w:kern w:val="0"/>
          <w:szCs w:val="32"/>
        </w:rPr>
        <w:t>元。</w:t>
      </w:r>
    </w:p>
    <w:p>
      <w:pPr>
        <w:keepNext w:val="0"/>
        <w:keepLines w:val="0"/>
        <w:pageBreakBefore w:val="0"/>
        <w:widowControl w:val="0"/>
        <w:kinsoku/>
        <w:wordWrap/>
        <w:overflowPunct/>
        <w:topLinePunct w:val="0"/>
        <w:bidi w:val="0"/>
        <w:snapToGrid w:val="0"/>
        <w:spacing w:line="550" w:lineRule="exact"/>
        <w:ind w:firstLine="632" w:firstLineChars="200"/>
        <w:textAlignment w:val="auto"/>
        <w:rPr>
          <w:rFonts w:ascii="黑体" w:hAnsi="黑体" w:eastAsia="黑体" w:cs="FZFSK--GBK1-0"/>
          <w:kern w:val="0"/>
          <w:szCs w:val="32"/>
        </w:rPr>
      </w:pPr>
      <w:r>
        <w:rPr>
          <w:rFonts w:hint="eastAsia" w:ascii="黑体" w:hAnsi="黑体" w:eastAsia="黑体" w:cs="FZFSK--GBK1-0"/>
          <w:kern w:val="0"/>
          <w:szCs w:val="32"/>
        </w:rPr>
        <w:t>三、行政处罚决定的履行方式和期限</w:t>
      </w:r>
    </w:p>
    <w:p>
      <w:pPr>
        <w:keepNext w:val="0"/>
        <w:keepLines w:val="0"/>
        <w:pageBreakBefore w:val="0"/>
        <w:widowControl w:val="0"/>
        <w:kinsoku/>
        <w:wordWrap/>
        <w:overflowPunct/>
        <w:topLinePunct w:val="0"/>
        <w:bidi w:val="0"/>
        <w:snapToGrid w:val="0"/>
        <w:spacing w:line="550" w:lineRule="exact"/>
        <w:ind w:firstLine="632" w:firstLineChars="200"/>
        <w:textAlignment w:val="auto"/>
        <w:rPr>
          <w:rFonts w:hint="eastAsia" w:ascii="仿宋" w:hAnsi="仿宋" w:cs="FZFSK--GBK1-0"/>
          <w:kern w:val="0"/>
          <w:szCs w:val="32"/>
        </w:rPr>
      </w:pPr>
      <w:r>
        <w:rPr>
          <w:rFonts w:hint="eastAsia" w:ascii="仿宋" w:hAnsi="仿宋" w:cs="FZFSK--GBK1-0"/>
          <w:kern w:val="0"/>
          <w:szCs w:val="32"/>
        </w:rPr>
        <w:t>根据《中华人民共和国行政处罚法》和《罚款决定与罚款收缴分离实施办法》的规定，你单位应当自收到本处罚决定书之日起15日内将罚款缴至安阳市财政局非税收入财政专户（账户名称：安阳市财政局非税收入财政专户；银行账号：41001504210050207404；代办银行：中国建设银行安阳永明支行）。款项缴清后，请与我局联系开具罚款票据事宜，联系电话：0372-2131106。</w:t>
      </w:r>
    </w:p>
    <w:p>
      <w:pPr>
        <w:keepNext w:val="0"/>
        <w:keepLines w:val="0"/>
        <w:pageBreakBefore w:val="0"/>
        <w:widowControl w:val="0"/>
        <w:kinsoku/>
        <w:wordWrap/>
        <w:overflowPunct/>
        <w:topLinePunct w:val="0"/>
        <w:bidi w:val="0"/>
        <w:snapToGrid w:val="0"/>
        <w:spacing w:line="550" w:lineRule="exact"/>
        <w:ind w:firstLine="632" w:firstLineChars="200"/>
        <w:textAlignment w:val="auto"/>
        <w:rPr>
          <w:rFonts w:ascii="黑体" w:hAnsi="黑体" w:eastAsia="黑体" w:cs="FZFSK--GBK1-0"/>
          <w:kern w:val="0"/>
          <w:szCs w:val="32"/>
        </w:rPr>
      </w:pPr>
      <w:r>
        <w:rPr>
          <w:rFonts w:hint="eastAsia" w:ascii="黑体" w:hAnsi="黑体" w:eastAsia="黑体" w:cs="FZFSK--GBK1-0"/>
          <w:kern w:val="0"/>
          <w:szCs w:val="32"/>
        </w:rPr>
        <w:t>四、申请行政复议或提起行政诉讼的途径和期限</w:t>
      </w:r>
    </w:p>
    <w:p>
      <w:pPr>
        <w:keepNext w:val="0"/>
        <w:keepLines w:val="0"/>
        <w:pageBreakBefore w:val="0"/>
        <w:widowControl w:val="0"/>
        <w:kinsoku/>
        <w:wordWrap/>
        <w:overflowPunct/>
        <w:topLinePunct w:val="0"/>
        <w:bidi w:val="0"/>
        <w:snapToGrid w:val="0"/>
        <w:spacing w:line="550" w:lineRule="exact"/>
        <w:ind w:firstLine="632" w:firstLineChars="200"/>
        <w:textAlignment w:val="auto"/>
        <w:rPr>
          <w:rFonts w:hint="eastAsia" w:ascii="仿宋" w:hAnsi="仿宋" w:cs="FZFSK--GBK1-0"/>
          <w:kern w:val="0"/>
          <w:szCs w:val="32"/>
        </w:rPr>
      </w:pPr>
      <w:r>
        <w:rPr>
          <w:rFonts w:hint="eastAsia" w:ascii="仿宋" w:hAnsi="仿宋" w:cs="FZFSK--GBK1-0"/>
          <w:kern w:val="0"/>
          <w:szCs w:val="32"/>
        </w:rPr>
        <w:t>你单位如不服本处罚决定，可以在收到本处罚决定书之日起六十日内向安阳人民政府申请行政复议，也可以在收到本处罚决定书之日起六个月内向人民法院提起行政诉讼。申请行政复议或者提起行政诉讼，不停止行政处罚决定的执行。</w:t>
      </w:r>
    </w:p>
    <w:p>
      <w:pPr>
        <w:keepNext w:val="0"/>
        <w:keepLines w:val="0"/>
        <w:pageBreakBefore w:val="0"/>
        <w:widowControl w:val="0"/>
        <w:kinsoku/>
        <w:wordWrap/>
        <w:overflowPunct/>
        <w:topLinePunct w:val="0"/>
        <w:bidi w:val="0"/>
        <w:snapToGrid w:val="0"/>
        <w:spacing w:line="550" w:lineRule="exact"/>
        <w:ind w:firstLine="632" w:firstLineChars="200"/>
        <w:textAlignment w:val="auto"/>
        <w:rPr>
          <w:rFonts w:ascii="仿宋" w:hAnsi="仿宋" w:cs="FZFSK--GBK1-0"/>
          <w:kern w:val="0"/>
          <w:szCs w:val="32"/>
        </w:rPr>
      </w:pPr>
      <w:r>
        <w:rPr>
          <w:rFonts w:hint="eastAsia" w:ascii="仿宋" w:hAnsi="仿宋" w:cs="FZFSK--GBK1-0"/>
          <w:kern w:val="0"/>
          <w:szCs w:val="32"/>
        </w:rPr>
        <w:t>逾期不申请行政复议，不提起行政诉讼，又不履行本处罚决定的，我局将依法申请人民法院强制执行。</w:t>
      </w:r>
    </w:p>
    <w:p>
      <w:pPr>
        <w:keepNext w:val="0"/>
        <w:keepLines w:val="0"/>
        <w:pageBreakBefore w:val="0"/>
        <w:widowControl w:val="0"/>
        <w:kinsoku/>
        <w:wordWrap/>
        <w:overflowPunct/>
        <w:topLinePunct w:val="0"/>
        <w:bidi w:val="0"/>
        <w:snapToGrid w:val="0"/>
        <w:spacing w:line="550" w:lineRule="exact"/>
        <w:ind w:firstLine="632" w:firstLineChars="200"/>
        <w:textAlignment w:val="auto"/>
        <w:rPr>
          <w:rFonts w:hint="eastAsia" w:ascii="仿宋" w:hAnsi="仿宋" w:cs="FZFSK--GBK1-0"/>
          <w:kern w:val="0"/>
          <w:szCs w:val="32"/>
        </w:rPr>
      </w:pPr>
    </w:p>
    <w:p>
      <w:pPr>
        <w:keepNext w:val="0"/>
        <w:keepLines w:val="0"/>
        <w:pageBreakBefore w:val="0"/>
        <w:widowControl w:val="0"/>
        <w:kinsoku/>
        <w:wordWrap/>
        <w:overflowPunct/>
        <w:topLinePunct w:val="0"/>
        <w:bidi w:val="0"/>
        <w:snapToGrid w:val="0"/>
        <w:spacing w:line="550" w:lineRule="exact"/>
        <w:ind w:firstLine="5214" w:firstLineChars="1650"/>
        <w:textAlignment w:val="auto"/>
        <w:rPr>
          <w:rFonts w:hint="eastAsia" w:ascii="仿宋" w:hAnsi="仿宋" w:cs="FZFSK--GBK1-0"/>
          <w:kern w:val="0"/>
          <w:szCs w:val="32"/>
        </w:rPr>
      </w:pPr>
    </w:p>
    <w:p>
      <w:pPr>
        <w:keepNext w:val="0"/>
        <w:keepLines w:val="0"/>
        <w:pageBreakBefore w:val="0"/>
        <w:widowControl w:val="0"/>
        <w:kinsoku/>
        <w:wordWrap/>
        <w:overflowPunct/>
        <w:topLinePunct w:val="0"/>
        <w:bidi w:val="0"/>
        <w:snapToGrid w:val="0"/>
        <w:spacing w:line="550" w:lineRule="exact"/>
        <w:ind w:firstLine="5214" w:firstLineChars="1650"/>
        <w:textAlignment w:val="auto"/>
        <w:rPr>
          <w:rFonts w:hint="eastAsia" w:ascii="仿宋" w:hAnsi="仿宋" w:cs="FZFSK--GBK1-0"/>
          <w:kern w:val="0"/>
          <w:szCs w:val="32"/>
        </w:rPr>
      </w:pPr>
      <w:r>
        <w:rPr>
          <w:rFonts w:hint="eastAsia" w:ascii="仿宋" w:hAnsi="仿宋" w:cs="FZFSK--GBK1-0"/>
          <w:kern w:val="0"/>
          <w:szCs w:val="32"/>
        </w:rPr>
        <w:t>安阳市生态环境局</w:t>
      </w:r>
    </w:p>
    <w:p>
      <w:pPr>
        <w:keepNext w:val="0"/>
        <w:keepLines w:val="0"/>
        <w:pageBreakBefore w:val="0"/>
        <w:widowControl w:val="0"/>
        <w:kinsoku/>
        <w:wordWrap/>
        <w:overflowPunct/>
        <w:topLinePunct w:val="0"/>
        <w:bidi w:val="0"/>
        <w:snapToGrid w:val="0"/>
        <w:spacing w:line="550" w:lineRule="exact"/>
        <w:ind w:firstLine="5214" w:firstLineChars="1650"/>
        <w:textAlignment w:val="auto"/>
        <w:rPr>
          <w:rFonts w:ascii="仿宋" w:hAnsi="仿宋" w:cs="仿宋"/>
        </w:rPr>
      </w:pPr>
      <w:r>
        <w:rPr>
          <w:rFonts w:hint="eastAsia" w:ascii="仿宋" w:hAnsi="仿宋" w:cs="FZFSK--GBK1-0"/>
          <w:kern w:val="0"/>
          <w:szCs w:val="32"/>
        </w:rPr>
        <w:t>202</w:t>
      </w:r>
      <w:r>
        <w:rPr>
          <w:rFonts w:hint="eastAsia" w:ascii="仿宋" w:hAnsi="仿宋" w:cs="FZFSK--GBK1-0"/>
          <w:kern w:val="0"/>
          <w:szCs w:val="32"/>
          <w:lang w:val="en-US" w:eastAsia="zh-CN"/>
        </w:rPr>
        <w:t>4</w:t>
      </w:r>
      <w:r>
        <w:rPr>
          <w:rFonts w:hint="eastAsia" w:ascii="仿宋" w:hAnsi="仿宋" w:cs="FZFSK--GBK1-0"/>
          <w:kern w:val="0"/>
          <w:szCs w:val="32"/>
        </w:rPr>
        <w:t>年</w:t>
      </w:r>
      <w:r>
        <w:rPr>
          <w:rFonts w:ascii="仿宋" w:hAnsi="仿宋" w:cs="FZFSK--GBK1-0"/>
          <w:kern w:val="0"/>
          <w:szCs w:val="32"/>
        </w:rPr>
        <w:t>1</w:t>
      </w:r>
      <w:r>
        <w:rPr>
          <w:rFonts w:hint="eastAsia" w:ascii="仿宋" w:hAnsi="仿宋" w:cs="FZFSK--GBK1-0"/>
          <w:kern w:val="0"/>
          <w:szCs w:val="32"/>
        </w:rPr>
        <w:t>月</w:t>
      </w:r>
      <w:r>
        <w:rPr>
          <w:rFonts w:hint="eastAsia" w:ascii="仿宋" w:hAnsi="仿宋" w:cs="FZFSK--GBK1-0"/>
          <w:kern w:val="0"/>
          <w:szCs w:val="32"/>
          <w:lang w:val="en-US" w:eastAsia="zh-CN"/>
        </w:rPr>
        <w:t>18</w:t>
      </w:r>
      <w:r>
        <w:rPr>
          <w:rFonts w:hint="eastAsia" w:ascii="仿宋" w:hAnsi="仿宋" w:cs="FZFSK--GBK1-0"/>
          <w:kern w:val="0"/>
          <w:szCs w:val="32"/>
        </w:rPr>
        <w:t>日</w:t>
      </w:r>
      <w:r>
        <w:rPr>
          <w:rFonts w:ascii="仿宋" w:hAnsi="仿宋" w:cs="FZFSK--GBK1-0"/>
          <w:kern w:val="0"/>
          <w:szCs w:val="32"/>
        </w:rPr>
        <w:t xml:space="preserve">         </w:t>
      </w:r>
    </w:p>
    <w:sectPr>
      <w:pgSz w:w="11906" w:h="16838"/>
      <w:pgMar w:top="2098" w:right="1474" w:bottom="1984" w:left="1587" w:header="851" w:footer="1400"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FZXBSK--GBK1-0">
    <w:altName w:val="国标仿宋"/>
    <w:panose1 w:val="00000000000000000000"/>
    <w:charset w:val="86"/>
    <w:family w:val="auto"/>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FZFSK--GBK1-0">
    <w:altName w:val="Noto Serif CJK JP"/>
    <w:panose1 w:val="00000000000000000000"/>
    <w:charset w:val="86"/>
    <w:family w:val="auto"/>
    <w:pitch w:val="default"/>
    <w:sig w:usb0="00000000" w:usb1="00000000" w:usb2="00000010"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国标仿宋">
    <w:panose1 w:val="02000500000000000000"/>
    <w:charset w:val="86"/>
    <w:family w:val="auto"/>
    <w:pitch w:val="default"/>
    <w:sig w:usb0="A00002BF" w:usb1="38C77CFA" w:usb2="00000016" w:usb3="00000000" w:csb0="00060007" w:csb1="00000000"/>
  </w:font>
  <w:font w:name="Noto Serif CJK JP">
    <w:panose1 w:val="02020400000000000000"/>
    <w:charset w:val="86"/>
    <w:family w:val="auto"/>
    <w:pitch w:val="default"/>
    <w:sig w:usb0="30000083" w:usb1="2BDF3C10" w:usb2="00000016" w:usb3="00000000" w:csb0="602E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true"/>
  <w:bordersDoNotSurroundHeader w:val="false"/>
  <w:bordersDoNotSurroundFooter w:val="false"/>
  <w:documentProtection w:enforcement="0"/>
  <w:defaultTabStop w:val="420"/>
  <w:drawingGridHorizontalSpacing w:val="103"/>
  <w:drawingGridVerticalSpacing w:val="57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47"/>
    <w:rsid w:val="001A1CFE"/>
    <w:rsid w:val="002C327E"/>
    <w:rsid w:val="002E0D47"/>
    <w:rsid w:val="00434491"/>
    <w:rsid w:val="00631209"/>
    <w:rsid w:val="008D62A3"/>
    <w:rsid w:val="00A209F8"/>
    <w:rsid w:val="00B162F1"/>
    <w:rsid w:val="00B609C0"/>
    <w:rsid w:val="00C110EA"/>
    <w:rsid w:val="00C2109F"/>
    <w:rsid w:val="00E50CA7"/>
    <w:rsid w:val="00F915B7"/>
    <w:rsid w:val="00FE4D05"/>
    <w:rsid w:val="19F64D87"/>
    <w:rsid w:val="3D93943B"/>
    <w:rsid w:val="3E7F3D71"/>
    <w:rsid w:val="3FFF2E44"/>
    <w:rsid w:val="4FF7E9BC"/>
    <w:rsid w:val="4FFE0AC4"/>
    <w:rsid w:val="5BFA22E5"/>
    <w:rsid w:val="5CF604A5"/>
    <w:rsid w:val="7A5771AB"/>
    <w:rsid w:val="7BFF20E6"/>
    <w:rsid w:val="7D3ED841"/>
    <w:rsid w:val="7EC37E15"/>
    <w:rsid w:val="7FF72C2C"/>
    <w:rsid w:val="81D9B4F3"/>
    <w:rsid w:val="B3FF0520"/>
    <w:rsid w:val="C1FFBA12"/>
    <w:rsid w:val="DE7D8A7E"/>
    <w:rsid w:val="E79BADE9"/>
    <w:rsid w:val="E7DF7FCB"/>
    <w:rsid w:val="EBFF3ED3"/>
    <w:rsid w:val="F3FFDF6C"/>
    <w:rsid w:val="F72E6010"/>
    <w:rsid w:val="F7F47A44"/>
    <w:rsid w:val="FB3FF990"/>
    <w:rsid w:val="FF5A8E51"/>
    <w:rsid w:val="FFBFA3CB"/>
    <w:rsid w:val="FFFFD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eastAsia="仿宋"/>
      <w:kern w:val="2"/>
      <w:sz w:val="18"/>
      <w:szCs w:val="18"/>
    </w:rPr>
  </w:style>
  <w:style w:type="character" w:customStyle="1" w:styleId="7">
    <w:name w:val="页脚 字符"/>
    <w:basedOn w:val="5"/>
    <w:link w:val="2"/>
    <w:qFormat/>
    <w:uiPriority w:val="0"/>
    <w:rPr>
      <w:rFonts w:eastAsia="仿宋"/>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333</Words>
  <Characters>1899</Characters>
  <Lines>15</Lines>
  <Paragraphs>4</Paragraphs>
  <TotalTime>5</TotalTime>
  <ScaleCrop>false</ScaleCrop>
  <LinksUpToDate>false</LinksUpToDate>
  <CharactersWithSpaces>2228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2023-12-27T22:37:00Z</dcterms:created>
  <dc:creator>Administrator</dc:creator>
  <cp:lastModifiedBy>sugon</cp:lastModifiedBy>
  <dcterms:modified xsi:type="dcterms:W3CDTF">2024-01-22T17:57:26Z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