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lang w:val="en-US" w:eastAsia="zh-CN"/>
        </w:rPr>
      </w:pPr>
    </w:p>
    <w:p>
      <w:pPr>
        <w:pStyle w:val="13"/>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52"/>
          <w:szCs w:val="5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52"/>
          <w:szCs w:val="5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before="0" w:beforeLines="0" w:after="0" w:afterLines="0" w:line="70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52"/>
          <w:szCs w:val="5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before="0" w:beforeLines="0" w:after="0" w:afterLines="0" w:line="14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84"/>
          <w:szCs w:val="84"/>
          <w:lang w:val="en-US" w:eastAsia="zh-CN"/>
        </w:rPr>
      </w:pPr>
      <w:r>
        <w:rPr>
          <w:rFonts w:hint="default" w:ascii="Times New Roman" w:hAnsi="Times New Roman" w:eastAsia="方正小标宋简体" w:cs="Times New Roman"/>
          <w:b w:val="0"/>
          <w:bCs w:val="0"/>
          <w:sz w:val="84"/>
          <w:szCs w:val="84"/>
          <w:lang w:val="en-US" w:eastAsia="zh-CN"/>
        </w:rPr>
        <w:t>202</w:t>
      </w:r>
      <w:r>
        <w:rPr>
          <w:rFonts w:hint="eastAsia" w:ascii="Times New Roman" w:hAnsi="Times New Roman" w:eastAsia="方正小标宋简体" w:cs="Times New Roman"/>
          <w:b w:val="0"/>
          <w:bCs w:val="0"/>
          <w:color w:val="000000" w:themeColor="text1"/>
          <w:sz w:val="84"/>
          <w:szCs w:val="84"/>
          <w:lang w:val="en-US" w:eastAsia="zh-CN"/>
          <w14:textFill>
            <w14:solidFill>
              <w14:schemeClr w14:val="tx1"/>
            </w14:solidFill>
          </w14:textFill>
        </w:rPr>
        <w:t>3</w:t>
      </w:r>
      <w:r>
        <w:rPr>
          <w:rFonts w:hint="default" w:ascii="Times New Roman" w:hAnsi="Times New Roman" w:eastAsia="方正小标宋简体" w:cs="Times New Roman"/>
          <w:b w:val="0"/>
          <w:bCs w:val="0"/>
          <w:sz w:val="84"/>
          <w:szCs w:val="84"/>
          <w:lang w:val="en-US" w:eastAsia="zh-CN"/>
        </w:rPr>
        <w:t>年</w:t>
      </w:r>
    </w:p>
    <w:p>
      <w:pPr>
        <w:pStyle w:val="2"/>
        <w:keepNext w:val="0"/>
        <w:keepLines w:val="0"/>
        <w:pageBreakBefore w:val="0"/>
        <w:widowControl w:val="0"/>
        <w:kinsoku/>
        <w:wordWrap/>
        <w:overflowPunct/>
        <w:topLinePunct w:val="0"/>
        <w:autoSpaceDE w:val="0"/>
        <w:autoSpaceDN w:val="0"/>
        <w:bidi w:val="0"/>
        <w:adjustRightInd w:val="0"/>
        <w:snapToGrid/>
        <w:spacing w:before="0" w:beforeLines="0" w:after="0" w:afterLines="0" w:line="14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72"/>
          <w:szCs w:val="72"/>
          <w:lang w:val="en-US" w:eastAsia="zh-CN"/>
        </w:rPr>
      </w:pPr>
      <w:r>
        <w:rPr>
          <w:rFonts w:hint="default" w:ascii="Times New Roman" w:hAnsi="Times New Roman" w:eastAsia="方正小标宋简体" w:cs="Times New Roman"/>
          <w:b w:val="0"/>
          <w:bCs w:val="0"/>
          <w:sz w:val="84"/>
          <w:szCs w:val="84"/>
          <w:lang w:val="en-US" w:eastAsia="zh-CN"/>
        </w:rPr>
        <w:t>安阳市生态环境状况公报</w:t>
      </w:r>
    </w:p>
    <w:p>
      <w:pPr>
        <w:keepNext w:val="0"/>
        <w:keepLines w:val="0"/>
        <w:widowControl/>
        <w:suppressLineNumbers w:val="0"/>
        <w:ind w:firstLine="640" w:firstLineChars="200"/>
        <w:jc w:val="left"/>
        <w:rPr>
          <w:rFonts w:hint="eastAsia" w:eastAsia="楷体_GB2312" w:cs="Times New Roman"/>
          <w:sz w:val="44"/>
          <w:szCs w:val="44"/>
          <w:lang w:val="en-US" w:eastAsia="zh-CN"/>
        </w:rPr>
      </w:pPr>
      <w:r>
        <w:rPr>
          <w:rFonts w:hint="eastAsia" w:eastAsia="楷体_GB2312" w:cs="Times New Roman"/>
          <w:sz w:val="32"/>
          <w:szCs w:val="32"/>
          <w:lang w:val="en-US" w:eastAsia="zh-CN"/>
        </w:rPr>
        <w:t xml:space="preserve">                </w:t>
      </w:r>
      <w:r>
        <w:rPr>
          <w:rFonts w:hint="eastAsia" w:eastAsia="楷体_GB2312" w:cs="Times New Roman"/>
          <w:sz w:val="44"/>
          <w:szCs w:val="44"/>
          <w:lang w:val="en-US" w:eastAsia="zh-CN"/>
        </w:rPr>
        <w:t xml:space="preserve"> </w:t>
      </w:r>
    </w:p>
    <w:p>
      <w:pPr>
        <w:pStyle w:val="5"/>
        <w:rPr>
          <w:rFonts w:hint="eastAsia"/>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Times New Roman"/>
          <w:b w:val="0"/>
          <w:bCs w:val="0"/>
          <w:color w:val="auto"/>
          <w:kern w:val="2"/>
          <w:sz w:val="32"/>
          <w:szCs w:val="32"/>
          <w:highlight w:val="none"/>
          <w:lang w:val="en-US" w:eastAsia="zh-CN" w:bidi="ar-SA"/>
        </w:rPr>
        <w:sectPr>
          <w:pgSz w:w="11906" w:h="16838"/>
          <w:pgMar w:top="1984" w:right="1134" w:bottom="1417" w:left="1134" w:header="851" w:footer="992" w:gutter="0"/>
          <w:pgNumType w:fmt="decimal"/>
          <w:cols w:space="720" w:num="1"/>
          <w:docGrid w:type="lines" w:linePitch="312" w:charSpace="0"/>
        </w:sect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Times New Roman"/>
          <w:b w:val="0"/>
          <w:bCs w:val="0"/>
          <w:color w:val="auto"/>
          <w:kern w:val="2"/>
          <w:sz w:val="32"/>
          <w:szCs w:val="32"/>
          <w:highlight w:val="none"/>
          <w:lang w:val="en-US" w:eastAsia="zh-CN" w:bidi="ar-SA"/>
        </w:rPr>
      </w:pPr>
      <w:r>
        <w:rPr>
          <w:rFonts w:hint="eastAsia" w:ascii="仿宋_GB2312" w:hAnsi="仿宋_GB2312" w:eastAsia="仿宋_GB2312" w:cs="Times New Roman"/>
          <w:b w:val="0"/>
          <w:bCs w:val="0"/>
          <w:color w:val="auto"/>
          <w:kern w:val="2"/>
          <w:sz w:val="32"/>
          <w:szCs w:val="32"/>
          <w:highlight w:val="none"/>
          <w:lang w:val="en-US" w:eastAsia="zh-CN" w:bidi="ar-SA"/>
        </w:rPr>
        <w:t>2023年，在市委、市政府的正确领导下，全市上下认真贯彻落实习近平生态文明思想，牢固树立绿水青山就是金山银山的理念，坚持方向不变、力度不减，突出精准治污、科学治污、依法治污，坚持标本兼治、综合施策、科学治理、精准管控，深入打好蓝天、碧水、净土保卫战，强力推进污染防治攻坚重点任务落实，取得了明显成效，生态环境质量得到持续改善，绿色发展得到持续深化，有力促进了全市经济社会绿色、低碳、高质量发展。</w:t>
      </w:r>
    </w:p>
    <w:p>
      <w:pPr>
        <w:keepNext w:val="0"/>
        <w:keepLines w:val="0"/>
        <w:pageBreakBefore w:val="0"/>
        <w:widowControl w:val="0"/>
        <w:tabs>
          <w:tab w:val="left" w:pos="426"/>
        </w:tabs>
        <w:kinsoku/>
        <w:wordWrap/>
        <w:overflowPunct/>
        <w:topLinePunct w:val="0"/>
        <w:bidi w:val="0"/>
        <w:snapToGrid/>
        <w:spacing w:before="0" w:beforeLines="0" w:after="0" w:afterLines="0" w:line="600" w:lineRule="exact"/>
        <w:ind w:right="0" w:rightChars="0"/>
        <w:jc w:val="both"/>
        <w:textAlignment w:val="auto"/>
        <w:outlineLvl w:val="9"/>
        <w:rPr>
          <w:rFonts w:hint="default" w:ascii="Times New Roman" w:hAnsi="Times New Roman" w:eastAsia="仿宋_GB2312" w:cs="Times New Roman"/>
          <w:b/>
          <w:bCs/>
          <w:color w:val="auto"/>
          <w:sz w:val="36"/>
          <w:szCs w:val="36"/>
          <w:highlight w:val="none"/>
        </w:rPr>
      </w:pPr>
    </w:p>
    <w:p>
      <w:pPr>
        <w:keepNext w:val="0"/>
        <w:keepLines w:val="0"/>
        <w:pageBreakBefore w:val="0"/>
        <w:widowControl w:val="0"/>
        <w:tabs>
          <w:tab w:val="left" w:pos="426"/>
        </w:tabs>
        <w:kinsoku/>
        <w:wordWrap/>
        <w:overflowPunct/>
        <w:topLinePunct w:val="0"/>
        <w:bidi w:val="0"/>
        <w:snapToGrid/>
        <w:spacing w:before="0" w:beforeLines="0" w:after="0" w:afterLines="0" w:line="600" w:lineRule="exact"/>
        <w:ind w:right="0" w:rightChars="0"/>
        <w:jc w:val="center"/>
        <w:textAlignment w:val="auto"/>
        <w:outlineLvl w:val="9"/>
        <w:rPr>
          <w:rFonts w:hint="default" w:ascii="Times New Roman" w:hAnsi="Times New Roman" w:eastAsia="仿宋_GB2312" w:cs="Times New Roman"/>
          <w:b/>
          <w:bCs/>
          <w:color w:val="auto"/>
          <w:sz w:val="36"/>
          <w:szCs w:val="36"/>
          <w:highlight w:val="none"/>
        </w:rPr>
      </w:pPr>
      <w:r>
        <w:rPr>
          <w:rFonts w:hint="default" w:ascii="Times New Roman" w:hAnsi="Times New Roman" w:eastAsia="仿宋_GB2312" w:cs="Times New Roman"/>
          <w:b/>
          <w:bCs/>
          <w:color w:val="auto"/>
          <w:sz w:val="36"/>
          <w:szCs w:val="36"/>
          <w:highlight w:val="none"/>
        </w:rPr>
        <w:t>大气环境</w:t>
      </w: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仿宋_GB2312" w:cs="Times New Roman"/>
          <w:b/>
          <w:color w:val="auto"/>
          <w:sz w:val="32"/>
          <w:szCs w:val="32"/>
          <w:highlight w:val="none"/>
        </w:rPr>
        <w:t xml:space="preserve">城市环境空气质量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pacing w:val="16"/>
          <w:sz w:val="32"/>
          <w:szCs w:val="32"/>
          <w:highlight w:val="none"/>
        </w:rPr>
        <w:t xml:space="preserve"> </w:t>
      </w:r>
      <w:r>
        <w:rPr>
          <w:rFonts w:hint="eastAsia" w:ascii="仿宋_GB2312" w:hAnsi="仿宋_GB2312" w:eastAsia="仿宋_GB2312" w:cs="仿宋_GB2312"/>
          <w:color w:val="auto"/>
          <w:spacing w:val="14"/>
          <w:sz w:val="32"/>
          <w:szCs w:val="32"/>
          <w:highlight w:val="none"/>
        </w:rPr>
        <w:t>202</w:t>
      </w:r>
      <w:r>
        <w:rPr>
          <w:rFonts w:hint="eastAsia" w:ascii="仿宋_GB2312" w:hAnsi="仿宋_GB2312" w:eastAsia="仿宋_GB2312" w:cs="仿宋_GB2312"/>
          <w:color w:val="auto"/>
          <w:spacing w:val="14"/>
          <w:sz w:val="32"/>
          <w:szCs w:val="32"/>
          <w:highlight w:val="none"/>
          <w:lang w:val="en-US" w:eastAsia="zh-CN"/>
        </w:rPr>
        <w:t>3</w:t>
      </w:r>
      <w:r>
        <w:rPr>
          <w:rFonts w:hint="eastAsia" w:ascii="仿宋_GB2312" w:hAnsi="仿宋_GB2312" w:eastAsia="仿宋_GB2312" w:cs="仿宋_GB2312"/>
          <w:color w:val="auto"/>
          <w:spacing w:val="14"/>
          <w:sz w:val="32"/>
          <w:szCs w:val="32"/>
          <w:highlight w:val="none"/>
        </w:rPr>
        <w:t>年，城市环境空气质量综合指数</w:t>
      </w:r>
      <w:r>
        <w:rPr>
          <w:rFonts w:hint="eastAsia" w:ascii="仿宋_GB2312" w:hAnsi="仿宋_GB2312" w:eastAsia="仿宋_GB2312" w:cs="仿宋_GB2312"/>
          <w:color w:val="auto"/>
          <w:spacing w:val="7"/>
          <w:sz w:val="32"/>
          <w:szCs w:val="32"/>
          <w:highlight w:val="none"/>
        </w:rPr>
        <w:t>5.</w:t>
      </w:r>
      <w:r>
        <w:rPr>
          <w:rFonts w:hint="eastAsia" w:ascii="仿宋_GB2312" w:hAnsi="仿宋_GB2312" w:eastAsia="仿宋_GB2312" w:cs="仿宋_GB2312"/>
          <w:color w:val="auto"/>
          <w:spacing w:val="7"/>
          <w:sz w:val="32"/>
          <w:szCs w:val="32"/>
          <w:highlight w:val="none"/>
          <w:lang w:val="en-US" w:eastAsia="zh-CN"/>
        </w:rPr>
        <w:t>033</w:t>
      </w:r>
      <w:r>
        <w:rPr>
          <w:rFonts w:hint="eastAsia" w:ascii="仿宋_GB2312" w:hAnsi="仿宋_GB2312" w:eastAsia="仿宋_GB2312" w:cs="仿宋_GB2312"/>
          <w:color w:val="auto"/>
          <w:spacing w:val="7"/>
          <w:sz w:val="32"/>
          <w:szCs w:val="32"/>
          <w:highlight w:val="none"/>
          <w:lang w:eastAsia="zh-CN"/>
        </w:rPr>
        <w:t>，</w:t>
      </w:r>
      <w:r>
        <w:rPr>
          <w:rFonts w:hint="eastAsia" w:ascii="仿宋_GB2312" w:hAnsi="仿宋_GB2312" w:eastAsia="仿宋_GB2312" w:cs="仿宋_GB2312"/>
          <w:color w:val="auto"/>
          <w:spacing w:val="7"/>
          <w:sz w:val="32"/>
          <w:szCs w:val="32"/>
          <w:highlight w:val="none"/>
        </w:rPr>
        <w:t>同比</w:t>
      </w:r>
      <w:r>
        <w:rPr>
          <w:rFonts w:hint="eastAsia" w:ascii="仿宋_GB2312" w:hAnsi="仿宋_GB2312" w:eastAsia="仿宋_GB2312" w:cs="仿宋_GB2312"/>
          <w:color w:val="auto"/>
          <w:spacing w:val="7"/>
          <w:sz w:val="32"/>
          <w:szCs w:val="32"/>
          <w:highlight w:val="none"/>
          <w:lang w:eastAsia="zh-CN"/>
        </w:rPr>
        <w:t>下降</w:t>
      </w:r>
      <w:r>
        <w:rPr>
          <w:rFonts w:hint="eastAsia" w:ascii="仿宋_GB2312" w:hAnsi="仿宋_GB2312" w:eastAsia="仿宋_GB2312" w:cs="仿宋_GB2312"/>
          <w:color w:val="auto"/>
          <w:spacing w:val="7"/>
          <w:sz w:val="32"/>
          <w:szCs w:val="32"/>
          <w:highlight w:val="none"/>
          <w:lang w:val="en-US" w:eastAsia="zh-CN"/>
        </w:rPr>
        <w:t>3.5</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pacing w:val="7"/>
          <w:sz w:val="32"/>
          <w:szCs w:val="32"/>
          <w:highlight w:val="none"/>
          <w:lang w:eastAsia="zh-CN"/>
        </w:rPr>
        <w:t>；</w:t>
      </w:r>
      <w:r>
        <w:rPr>
          <w:rFonts w:hint="eastAsia" w:ascii="仿宋_GB2312" w:hAnsi="仿宋_GB2312" w:eastAsia="仿宋_GB2312" w:cs="仿宋_GB2312"/>
          <w:color w:val="auto"/>
          <w:spacing w:val="7"/>
          <w:sz w:val="32"/>
          <w:szCs w:val="32"/>
          <w:highlight w:val="none"/>
        </w:rPr>
        <w:t>可吸入颗粒物</w:t>
      </w:r>
      <w:r>
        <w:rPr>
          <w:rFonts w:hint="eastAsia" w:ascii="仿宋_GB2312" w:hAnsi="仿宋_GB2312" w:eastAsia="仿宋_GB2312" w:cs="仿宋_GB2312"/>
          <w:color w:val="auto"/>
          <w:spacing w:val="-45"/>
          <w:sz w:val="32"/>
          <w:szCs w:val="32"/>
          <w:highlight w:val="none"/>
        </w:rPr>
        <w:t xml:space="preserve"> </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z w:val="32"/>
          <w:szCs w:val="32"/>
          <w:highlight w:val="none"/>
        </w:rPr>
        <w:t>PM</w:t>
      </w:r>
      <w:r>
        <w:rPr>
          <w:rFonts w:hint="eastAsia" w:ascii="仿宋_GB2312" w:hAnsi="仿宋_GB2312" w:eastAsia="仿宋_GB2312" w:cs="仿宋_GB2312"/>
          <w:color w:val="auto"/>
          <w:sz w:val="32"/>
          <w:szCs w:val="32"/>
          <w:highlight w:val="none"/>
          <w:vertAlign w:val="subscript"/>
          <w:lang w:val="en-US" w:eastAsia="zh-CN"/>
        </w:rPr>
        <w:t>10</w:t>
      </w:r>
      <w:r>
        <w:rPr>
          <w:rFonts w:hint="eastAsia" w:ascii="仿宋_GB2312" w:hAnsi="仿宋_GB2312" w:eastAsia="仿宋_GB2312" w:cs="仿宋_GB2312"/>
          <w:color w:val="auto"/>
          <w:spacing w:val="7"/>
          <w:sz w:val="32"/>
          <w:szCs w:val="32"/>
          <w:highlight w:val="none"/>
        </w:rPr>
        <w:t>)、细颗粒物</w:t>
      </w:r>
      <w:r>
        <w:rPr>
          <w:rFonts w:hint="eastAsia" w:ascii="仿宋_GB2312" w:hAnsi="仿宋_GB2312" w:eastAsia="仿宋_GB2312" w:cs="仿宋_GB2312"/>
          <w:color w:val="auto"/>
          <w:spacing w:val="-38"/>
          <w:sz w:val="32"/>
          <w:szCs w:val="32"/>
          <w:highlight w:val="none"/>
        </w:rPr>
        <w:t xml:space="preserve"> </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z w:val="32"/>
          <w:szCs w:val="32"/>
          <w:highlight w:val="none"/>
        </w:rPr>
        <w:t>PM</w:t>
      </w:r>
      <w:r>
        <w:rPr>
          <w:rFonts w:hint="eastAsia" w:ascii="仿宋_GB2312" w:hAnsi="仿宋_GB2312" w:eastAsia="仿宋_GB2312" w:cs="仿宋_GB2312"/>
          <w:color w:val="auto"/>
          <w:sz w:val="32"/>
          <w:szCs w:val="32"/>
          <w:highlight w:val="none"/>
          <w:vertAlign w:val="subscript"/>
          <w:lang w:val="en-US" w:eastAsia="zh-CN"/>
        </w:rPr>
        <w:t>2.5</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pacing w:val="2"/>
          <w:sz w:val="32"/>
          <w:szCs w:val="32"/>
          <w:highlight w:val="none"/>
        </w:rPr>
        <w:t>二氧化硫、二氧化氮、一氧化碳、臭氧分别为</w:t>
      </w:r>
      <w:r>
        <w:rPr>
          <w:rFonts w:hint="eastAsia" w:ascii="仿宋_GB2312" w:hAnsi="仿宋_GB2312" w:eastAsia="仿宋_GB2312" w:cs="仿宋_GB2312"/>
          <w:color w:val="auto"/>
          <w:spacing w:val="2"/>
          <w:sz w:val="32"/>
          <w:szCs w:val="32"/>
          <w:highlight w:val="none"/>
          <w:lang w:val="en-US" w:eastAsia="zh-CN"/>
        </w:rPr>
        <w:t>84</w:t>
      </w:r>
      <w:r>
        <w:rPr>
          <w:rFonts w:hint="eastAsia" w:ascii="仿宋_GB2312" w:hAnsi="仿宋_GB2312" w:eastAsia="仿宋_GB2312" w:cs="仿宋_GB2312"/>
          <w:color w:val="auto"/>
          <w:spacing w:val="2"/>
          <w:sz w:val="32"/>
          <w:szCs w:val="32"/>
          <w:highlight w:val="none"/>
        </w:rPr>
        <w:t>微克/立方米、</w:t>
      </w:r>
      <w:r>
        <w:rPr>
          <w:rFonts w:hint="eastAsia" w:ascii="仿宋_GB2312" w:hAnsi="仿宋_GB2312" w:eastAsia="仿宋_GB2312" w:cs="仿宋_GB2312"/>
          <w:color w:val="auto"/>
          <w:spacing w:val="18"/>
          <w:sz w:val="32"/>
          <w:szCs w:val="32"/>
          <w:highlight w:val="none"/>
        </w:rPr>
        <w:t>5</w:t>
      </w:r>
      <w:r>
        <w:rPr>
          <w:rFonts w:hint="eastAsia" w:ascii="仿宋_GB2312" w:hAnsi="仿宋_GB2312" w:eastAsia="仿宋_GB2312" w:cs="仿宋_GB2312"/>
          <w:color w:val="auto"/>
          <w:spacing w:val="18"/>
          <w:sz w:val="32"/>
          <w:szCs w:val="32"/>
          <w:highlight w:val="none"/>
          <w:lang w:val="en-US" w:eastAsia="zh-CN"/>
        </w:rPr>
        <w:t>0</w:t>
      </w:r>
      <w:r>
        <w:rPr>
          <w:rFonts w:hint="eastAsia" w:ascii="仿宋_GB2312" w:hAnsi="仿宋_GB2312" w:eastAsia="仿宋_GB2312" w:cs="仿宋_GB2312"/>
          <w:color w:val="auto"/>
          <w:spacing w:val="18"/>
          <w:sz w:val="32"/>
          <w:szCs w:val="32"/>
          <w:highlight w:val="none"/>
        </w:rPr>
        <w:t>微克/立方米、10微克/立方米、</w:t>
      </w:r>
      <w:r>
        <w:rPr>
          <w:rFonts w:hint="eastAsia" w:ascii="仿宋_GB2312" w:hAnsi="仿宋_GB2312" w:eastAsia="仿宋_GB2312" w:cs="仿宋_GB2312"/>
          <w:color w:val="auto"/>
          <w:spacing w:val="18"/>
          <w:sz w:val="32"/>
          <w:szCs w:val="32"/>
          <w:highlight w:val="none"/>
          <w:lang w:val="en-US" w:eastAsia="zh-CN"/>
        </w:rPr>
        <w:t>29</w:t>
      </w:r>
      <w:r>
        <w:rPr>
          <w:rFonts w:hint="eastAsia" w:ascii="仿宋_GB2312" w:hAnsi="仿宋_GB2312" w:eastAsia="仿宋_GB2312" w:cs="仿宋_GB2312"/>
          <w:color w:val="auto"/>
          <w:spacing w:val="18"/>
          <w:sz w:val="32"/>
          <w:szCs w:val="32"/>
          <w:highlight w:val="none"/>
        </w:rPr>
        <w:t>微克/立方米</w:t>
      </w:r>
      <w:r>
        <w:rPr>
          <w:rFonts w:hint="eastAsia" w:ascii="仿宋_GB2312" w:hAnsi="仿宋_GB2312" w:eastAsia="仿宋_GB2312" w:cs="仿宋_GB2312"/>
          <w:color w:val="auto"/>
          <w:spacing w:val="17"/>
          <w:sz w:val="32"/>
          <w:szCs w:val="32"/>
          <w:highlight w:val="none"/>
        </w:rPr>
        <w:t>、1.</w:t>
      </w:r>
      <w:r>
        <w:rPr>
          <w:rFonts w:hint="eastAsia" w:ascii="仿宋_GB2312" w:hAnsi="仿宋_GB2312" w:eastAsia="仿宋_GB2312" w:cs="仿宋_GB2312"/>
          <w:color w:val="auto"/>
          <w:spacing w:val="17"/>
          <w:sz w:val="32"/>
          <w:szCs w:val="32"/>
          <w:highlight w:val="none"/>
          <w:lang w:val="en-US" w:eastAsia="zh-CN"/>
        </w:rPr>
        <w:t>6</w:t>
      </w:r>
      <w:r>
        <w:rPr>
          <w:rFonts w:hint="eastAsia" w:ascii="仿宋_GB2312" w:hAnsi="仿宋_GB2312" w:eastAsia="仿宋_GB2312" w:cs="仿宋_GB2312"/>
          <w:color w:val="auto"/>
          <w:spacing w:val="17"/>
          <w:sz w:val="32"/>
          <w:szCs w:val="32"/>
          <w:highlight w:val="none"/>
        </w:rPr>
        <w:t>毫克/</w:t>
      </w:r>
      <w:r>
        <w:rPr>
          <w:rFonts w:hint="eastAsia" w:ascii="仿宋_GB2312" w:hAnsi="仿宋_GB2312" w:eastAsia="仿宋_GB2312" w:cs="仿宋_GB2312"/>
          <w:color w:val="auto"/>
          <w:spacing w:val="13"/>
          <w:sz w:val="32"/>
          <w:szCs w:val="32"/>
          <w:highlight w:val="none"/>
        </w:rPr>
        <w:t>立方米、178微克/立方米；同比</w:t>
      </w:r>
      <w:r>
        <w:rPr>
          <w:rFonts w:hint="eastAsia" w:ascii="仿宋_GB2312" w:hAnsi="仿宋_GB2312" w:eastAsia="仿宋_GB2312" w:cs="仿宋_GB2312"/>
          <w:color w:val="auto"/>
          <w:spacing w:val="11"/>
          <w:sz w:val="32"/>
          <w:szCs w:val="32"/>
          <w:highlight w:val="none"/>
        </w:rPr>
        <w:t>可吸入颗粒物</w:t>
      </w:r>
      <w:r>
        <w:rPr>
          <w:rFonts w:hint="eastAsia" w:ascii="仿宋_GB2312" w:hAnsi="仿宋_GB2312" w:eastAsia="仿宋_GB2312" w:cs="仿宋_GB2312"/>
          <w:color w:val="auto"/>
          <w:spacing w:val="11"/>
          <w:sz w:val="32"/>
          <w:szCs w:val="32"/>
          <w:highlight w:val="none"/>
          <w:lang w:eastAsia="zh-CN"/>
        </w:rPr>
        <w:t>浓度</w:t>
      </w:r>
      <w:r>
        <w:rPr>
          <w:rFonts w:hint="eastAsia" w:ascii="仿宋_GB2312" w:hAnsi="仿宋_GB2312" w:eastAsia="仿宋_GB2312" w:cs="仿宋_GB2312"/>
          <w:color w:val="auto"/>
          <w:spacing w:val="-45"/>
          <w:sz w:val="32"/>
          <w:szCs w:val="32"/>
          <w:highlight w:val="none"/>
        </w:rPr>
        <w:t xml:space="preserve"> </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z w:val="32"/>
          <w:szCs w:val="32"/>
          <w:highlight w:val="none"/>
        </w:rPr>
        <w:t>PM</w:t>
      </w:r>
      <w:r>
        <w:rPr>
          <w:rFonts w:hint="eastAsia" w:ascii="仿宋_GB2312" w:hAnsi="仿宋_GB2312" w:eastAsia="仿宋_GB2312" w:cs="仿宋_GB2312"/>
          <w:color w:val="auto"/>
          <w:sz w:val="32"/>
          <w:szCs w:val="32"/>
          <w:highlight w:val="none"/>
          <w:vertAlign w:val="subscript"/>
          <w:lang w:val="en-US" w:eastAsia="zh-CN"/>
        </w:rPr>
        <w:t>10</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pacing w:val="11"/>
          <w:sz w:val="32"/>
          <w:szCs w:val="32"/>
          <w:highlight w:val="none"/>
          <w:lang w:eastAsia="zh-CN"/>
        </w:rPr>
        <w:t>下降</w:t>
      </w:r>
      <w:r>
        <w:rPr>
          <w:rFonts w:hint="eastAsia" w:ascii="仿宋_GB2312" w:hAnsi="仿宋_GB2312" w:eastAsia="仿宋_GB2312" w:cs="仿宋_GB2312"/>
          <w:color w:val="auto"/>
          <w:spacing w:val="11"/>
          <w:sz w:val="32"/>
          <w:szCs w:val="32"/>
          <w:highlight w:val="none"/>
          <w:lang w:val="en-US" w:eastAsia="zh-CN"/>
        </w:rPr>
        <w:t>7.7</w:t>
      </w:r>
      <w:r>
        <w:rPr>
          <w:rFonts w:hint="eastAsia" w:ascii="仿宋_GB2312" w:hAnsi="仿宋_GB2312" w:eastAsia="仿宋_GB2312" w:cs="仿宋_GB2312"/>
          <w:color w:val="auto"/>
          <w:spacing w:val="11"/>
          <w:sz w:val="32"/>
          <w:szCs w:val="32"/>
          <w:highlight w:val="none"/>
        </w:rPr>
        <w:t>%、细颗粒物</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z w:val="32"/>
          <w:szCs w:val="32"/>
          <w:highlight w:val="none"/>
        </w:rPr>
        <w:t>PM</w:t>
      </w:r>
      <w:r>
        <w:rPr>
          <w:rFonts w:hint="eastAsia" w:ascii="仿宋_GB2312" w:hAnsi="仿宋_GB2312" w:eastAsia="仿宋_GB2312" w:cs="仿宋_GB2312"/>
          <w:color w:val="auto"/>
          <w:sz w:val="32"/>
          <w:szCs w:val="32"/>
          <w:highlight w:val="none"/>
          <w:vertAlign w:val="subscript"/>
          <w:lang w:val="en-US" w:eastAsia="zh-CN"/>
        </w:rPr>
        <w:t>2.5</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pacing w:val="11"/>
          <w:sz w:val="32"/>
          <w:szCs w:val="32"/>
          <w:highlight w:val="none"/>
          <w:lang w:eastAsia="zh-CN"/>
        </w:rPr>
        <w:t>下降</w:t>
      </w:r>
      <w:r>
        <w:rPr>
          <w:rFonts w:hint="eastAsia" w:ascii="仿宋_GB2312" w:hAnsi="仿宋_GB2312" w:eastAsia="仿宋_GB2312" w:cs="仿宋_GB2312"/>
          <w:color w:val="auto"/>
          <w:spacing w:val="13"/>
          <w:sz w:val="32"/>
          <w:szCs w:val="32"/>
          <w:highlight w:val="none"/>
          <w:lang w:val="en-US" w:eastAsia="zh-CN"/>
        </w:rPr>
        <w:t>3.8</w:t>
      </w:r>
      <w:r>
        <w:rPr>
          <w:rFonts w:hint="eastAsia" w:ascii="仿宋_GB2312" w:hAnsi="仿宋_GB2312" w:eastAsia="仿宋_GB2312" w:cs="仿宋_GB2312"/>
          <w:color w:val="auto"/>
          <w:spacing w:val="13"/>
          <w:sz w:val="32"/>
          <w:szCs w:val="32"/>
          <w:highlight w:val="none"/>
        </w:rPr>
        <w:t>%、二氧化氮</w:t>
      </w:r>
      <w:r>
        <w:rPr>
          <w:rFonts w:hint="eastAsia" w:ascii="仿宋_GB2312" w:hAnsi="仿宋_GB2312" w:eastAsia="仿宋_GB2312" w:cs="仿宋_GB2312"/>
          <w:color w:val="auto"/>
          <w:spacing w:val="11"/>
          <w:sz w:val="32"/>
          <w:szCs w:val="32"/>
          <w:highlight w:val="none"/>
          <w:lang w:eastAsia="zh-CN"/>
        </w:rPr>
        <w:t>下降</w:t>
      </w:r>
      <w:r>
        <w:rPr>
          <w:rFonts w:hint="eastAsia" w:ascii="仿宋_GB2312" w:hAnsi="仿宋_GB2312" w:eastAsia="仿宋_GB2312" w:cs="仿宋_GB2312"/>
          <w:color w:val="auto"/>
          <w:spacing w:val="11"/>
          <w:sz w:val="32"/>
          <w:szCs w:val="32"/>
          <w:highlight w:val="none"/>
          <w:lang w:val="en-US" w:eastAsia="zh-CN"/>
        </w:rPr>
        <w:t>6.5%；</w:t>
      </w:r>
      <w:r>
        <w:rPr>
          <w:rFonts w:hint="eastAsia" w:ascii="仿宋_GB2312" w:hAnsi="仿宋_GB2312" w:eastAsia="仿宋_GB2312" w:cs="仿宋_GB2312"/>
          <w:color w:val="auto"/>
          <w:spacing w:val="13"/>
          <w:sz w:val="32"/>
          <w:szCs w:val="32"/>
          <w:highlight w:val="none"/>
        </w:rPr>
        <w:t>一氧化碳</w:t>
      </w:r>
      <w:r>
        <w:rPr>
          <w:rFonts w:hint="eastAsia" w:ascii="仿宋_GB2312" w:hAnsi="仿宋_GB2312" w:eastAsia="仿宋_GB2312" w:cs="仿宋_GB2312"/>
          <w:color w:val="auto"/>
          <w:spacing w:val="13"/>
          <w:sz w:val="32"/>
          <w:szCs w:val="32"/>
          <w:highlight w:val="none"/>
          <w:lang w:eastAsia="zh-CN"/>
        </w:rPr>
        <w:t>上升</w:t>
      </w:r>
      <w:r>
        <w:rPr>
          <w:rFonts w:hint="eastAsia" w:ascii="仿宋_GB2312" w:hAnsi="仿宋_GB2312" w:eastAsia="仿宋_GB2312" w:cs="仿宋_GB2312"/>
          <w:color w:val="auto"/>
          <w:spacing w:val="13"/>
          <w:sz w:val="32"/>
          <w:szCs w:val="32"/>
          <w:highlight w:val="none"/>
        </w:rPr>
        <w:t>6.7%</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二氧化硫、臭氧</w:t>
      </w:r>
      <w:r>
        <w:rPr>
          <w:rFonts w:hint="eastAsia" w:ascii="仿宋_GB2312" w:hAnsi="仿宋_GB2312" w:eastAsia="仿宋_GB2312" w:cs="仿宋_GB2312"/>
          <w:color w:val="auto"/>
          <w:spacing w:val="13"/>
          <w:sz w:val="32"/>
          <w:szCs w:val="32"/>
          <w:highlight w:val="none"/>
          <w:lang w:eastAsia="zh-CN"/>
        </w:rPr>
        <w:t>持平；</w:t>
      </w:r>
      <w:r>
        <w:rPr>
          <w:rFonts w:hint="eastAsia" w:ascii="仿宋_GB2312" w:hAnsi="仿宋_GB2312" w:eastAsia="仿宋_GB2312" w:cs="仿宋_GB2312"/>
          <w:color w:val="auto"/>
          <w:spacing w:val="13"/>
          <w:sz w:val="32"/>
          <w:szCs w:val="32"/>
          <w:highlight w:val="none"/>
        </w:rPr>
        <w:t>全市城市环境空气</w:t>
      </w:r>
      <w:r>
        <w:rPr>
          <w:rFonts w:hint="eastAsia" w:ascii="仿宋_GB2312" w:hAnsi="仿宋_GB2312" w:eastAsia="仿宋_GB2312" w:cs="仿宋_GB2312"/>
          <w:color w:val="auto"/>
          <w:spacing w:val="26"/>
          <w:sz w:val="32"/>
          <w:szCs w:val="32"/>
          <w:highlight w:val="none"/>
        </w:rPr>
        <w:t>质量优良天数</w:t>
      </w:r>
      <w:r>
        <w:rPr>
          <w:rFonts w:hint="eastAsia" w:ascii="仿宋_GB2312" w:hAnsi="仿宋_GB2312" w:eastAsia="仿宋_GB2312" w:cs="仿宋_GB2312"/>
          <w:color w:val="auto"/>
          <w:spacing w:val="26"/>
          <w:sz w:val="32"/>
          <w:szCs w:val="32"/>
          <w:highlight w:val="none"/>
          <w:lang w:val="en-US" w:eastAsia="zh-CN"/>
        </w:rPr>
        <w:t>212</w:t>
      </w:r>
      <w:r>
        <w:rPr>
          <w:rFonts w:hint="eastAsia" w:ascii="仿宋_GB2312" w:hAnsi="仿宋_GB2312" w:eastAsia="仿宋_GB2312" w:cs="仿宋_GB2312"/>
          <w:color w:val="auto"/>
          <w:spacing w:val="26"/>
          <w:sz w:val="32"/>
          <w:szCs w:val="32"/>
          <w:highlight w:val="none"/>
        </w:rPr>
        <w:t>天，同比</w:t>
      </w:r>
      <w:r>
        <w:rPr>
          <w:rFonts w:hint="eastAsia" w:ascii="仿宋_GB2312" w:hAnsi="仿宋_GB2312" w:eastAsia="仿宋_GB2312" w:cs="仿宋_GB2312"/>
          <w:color w:val="auto"/>
          <w:spacing w:val="26"/>
          <w:sz w:val="32"/>
          <w:szCs w:val="32"/>
          <w:highlight w:val="none"/>
          <w:lang w:eastAsia="zh-CN"/>
        </w:rPr>
        <w:t>减少</w:t>
      </w:r>
      <w:r>
        <w:rPr>
          <w:rFonts w:hint="eastAsia" w:ascii="仿宋_GB2312" w:hAnsi="仿宋_GB2312" w:eastAsia="仿宋_GB2312" w:cs="仿宋_GB2312"/>
          <w:color w:val="auto"/>
          <w:spacing w:val="26"/>
          <w:sz w:val="32"/>
          <w:szCs w:val="32"/>
          <w:highlight w:val="none"/>
          <w:lang w:val="en-US" w:eastAsia="zh-CN"/>
        </w:rPr>
        <w:t>9</w:t>
      </w:r>
      <w:r>
        <w:rPr>
          <w:rFonts w:hint="eastAsia" w:ascii="仿宋_GB2312" w:hAnsi="仿宋_GB2312" w:eastAsia="仿宋_GB2312" w:cs="仿宋_GB2312"/>
          <w:color w:val="auto"/>
          <w:spacing w:val="26"/>
          <w:sz w:val="32"/>
          <w:szCs w:val="32"/>
          <w:highlight w:val="none"/>
        </w:rPr>
        <w:t>天；重污染天气</w:t>
      </w:r>
      <w:r>
        <w:rPr>
          <w:rFonts w:hint="eastAsia" w:ascii="仿宋_GB2312" w:hAnsi="仿宋_GB2312" w:eastAsia="仿宋_GB2312" w:cs="仿宋_GB2312"/>
          <w:color w:val="auto"/>
          <w:spacing w:val="26"/>
          <w:sz w:val="32"/>
          <w:szCs w:val="32"/>
          <w:highlight w:val="none"/>
          <w:lang w:val="en-US" w:eastAsia="zh-CN"/>
        </w:rPr>
        <w:t>1</w:t>
      </w:r>
      <w:r>
        <w:rPr>
          <w:rFonts w:hint="eastAsia" w:ascii="仿宋_GB2312" w:hAnsi="仿宋_GB2312" w:eastAsia="仿宋_GB2312" w:cs="仿宋_GB2312"/>
          <w:color w:val="auto"/>
          <w:spacing w:val="26"/>
          <w:sz w:val="32"/>
          <w:szCs w:val="32"/>
          <w:highlight w:val="none"/>
        </w:rPr>
        <w:t>1天，同比</w:t>
      </w:r>
      <w:r>
        <w:rPr>
          <w:rFonts w:hint="eastAsia" w:ascii="仿宋_GB2312" w:hAnsi="仿宋_GB2312" w:eastAsia="仿宋_GB2312" w:cs="仿宋_GB2312"/>
          <w:color w:val="auto"/>
          <w:spacing w:val="21"/>
          <w:sz w:val="32"/>
          <w:szCs w:val="32"/>
          <w:highlight w:val="none"/>
        </w:rPr>
        <w:t>减少</w:t>
      </w:r>
      <w:r>
        <w:rPr>
          <w:rFonts w:hint="eastAsia" w:ascii="仿宋_GB2312" w:hAnsi="仿宋_GB2312" w:eastAsia="仿宋_GB2312" w:cs="仿宋_GB2312"/>
          <w:color w:val="auto"/>
          <w:spacing w:val="21"/>
          <w:sz w:val="32"/>
          <w:szCs w:val="32"/>
          <w:highlight w:val="none"/>
          <w:lang w:val="en-US" w:eastAsia="zh-CN"/>
        </w:rPr>
        <w:t>1</w:t>
      </w:r>
      <w:r>
        <w:rPr>
          <w:rFonts w:hint="eastAsia" w:ascii="仿宋_GB2312" w:hAnsi="仿宋_GB2312" w:eastAsia="仿宋_GB2312" w:cs="仿宋_GB2312"/>
          <w:color w:val="auto"/>
          <w:spacing w:val="21"/>
          <w:sz w:val="32"/>
          <w:szCs w:val="32"/>
          <w:highlight w:val="none"/>
        </w:rPr>
        <w:t>天；酸雨发生率为0。</w:t>
      </w:r>
    </w:p>
    <w:p>
      <w:pPr>
        <w:keepNext w:val="0"/>
        <w:keepLines w:val="0"/>
        <w:pageBreakBefore w:val="0"/>
        <w:widowControl w:val="0"/>
        <w:kinsoku/>
        <w:wordWrap/>
        <w:overflowPunct/>
        <w:topLinePunct w:val="0"/>
        <w:bidi w:val="0"/>
        <w:snapToGrid/>
        <w:spacing w:before="0" w:beforeLines="0" w:after="0" w:afterLines="0" w:line="600" w:lineRule="exact"/>
        <w:ind w:right="0" w:rightChars="0"/>
        <w:jc w:val="center"/>
        <w:textAlignment w:val="auto"/>
        <w:outlineLvl w:val="9"/>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水环境</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地表水</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2023年，全市地表水水质级别为轻度污染。26个国、省、市控地表水断面中，</w:t>
      </w:r>
      <w:r>
        <w:rPr>
          <w:rFonts w:hint="eastAsia" w:ascii="仿宋_GB2312" w:hAnsi="仿宋_GB2312" w:eastAsia="仿宋_GB2312" w:cs="仿宋_GB2312"/>
          <w:color w:val="auto"/>
          <w:sz w:val="32"/>
          <w:szCs w:val="32"/>
          <w:lang w:val="en-US" w:eastAsia="zh-CN"/>
        </w:rPr>
        <w:t>Ⅰ-Ⅲ</w:t>
      </w:r>
      <w:r>
        <w:rPr>
          <w:rFonts w:hint="eastAsia" w:ascii="仿宋_GB2312" w:hAnsi="仿宋_GB2312" w:eastAsia="仿宋_GB2312" w:cs="仿宋_GB2312"/>
          <w:b w:val="0"/>
          <w:bCs w:val="0"/>
          <w:color w:val="auto"/>
          <w:sz w:val="32"/>
          <w:szCs w:val="32"/>
          <w:highlight w:val="none"/>
          <w:lang w:val="en-US" w:eastAsia="zh-CN"/>
        </w:rPr>
        <w:t>类断面17个，占65.4%；Ⅳ类断面7个，占26.9%；Ⅴ类断面2个，占7.7%；无劣Ⅴ类断面。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2"/>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highlight w:val="none"/>
          <w:lang w:val="en-US" w:eastAsia="zh-CN"/>
        </w:rPr>
        <w:t>流经全市11条河流中，露水河、淅河、淇河、安阳河4条河流水质状况为优，卫河、金堤河2条河流水质状况为良好，粉红江、茶店河、硝河、洪河、汤河5条河流水质状况为轻度污染。</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集中式饮用水源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2023年，城市地表水饮用水源地水质级别为优，地下水饮用水源地水质级别为良好，取水水质达标率为100%。</w:t>
      </w:r>
      <w:bookmarkStart w:id="0" w:name="1_4"/>
      <w:bookmarkEnd w:id="0"/>
      <w:bookmarkStart w:id="1" w:name="sub10882089_1_4"/>
      <w:bookmarkEnd w:id="1"/>
      <w:bookmarkStart w:id="2" w:name="2012年河南省环境状况公报_声环境"/>
      <w:bookmarkEnd w:id="2"/>
    </w:p>
    <w:p>
      <w:pPr>
        <w:keepNext w:val="0"/>
        <w:keepLines w:val="0"/>
        <w:pageBreakBefore w:val="0"/>
        <w:widowControl w:val="0"/>
        <w:kinsoku/>
        <w:wordWrap/>
        <w:overflowPunct/>
        <w:topLinePunct w:val="0"/>
        <w:bidi w:val="0"/>
        <w:snapToGrid/>
        <w:spacing w:before="300" w:after="300" w:line="600" w:lineRule="exact"/>
        <w:ind w:right="0" w:rightChars="0"/>
        <w:jc w:val="center"/>
        <w:textAlignment w:val="auto"/>
        <w:outlineLvl w:val="9"/>
        <w:rPr>
          <w:rFonts w:hint="eastAsia"/>
          <w:color w:val="auto"/>
          <w:lang w:val="en-US" w:eastAsia="zh-CN"/>
        </w:rPr>
      </w:pPr>
      <w:r>
        <w:rPr>
          <w:rFonts w:hint="eastAsia" w:ascii="仿宋_GB2312" w:hAnsi="仿宋_GB2312" w:eastAsia="仿宋_GB2312" w:cs="仿宋_GB2312"/>
          <w:b/>
          <w:bCs/>
          <w:color w:val="auto"/>
          <w:sz w:val="36"/>
          <w:szCs w:val="36"/>
          <w:highlight w:val="none"/>
        </w:rPr>
        <w:t>土</w:t>
      </w:r>
      <w:r>
        <w:rPr>
          <w:rFonts w:hint="eastAsia" w:ascii="仿宋_GB2312" w:hAnsi="仿宋_GB2312" w:eastAsia="仿宋_GB2312" w:cs="仿宋_GB2312"/>
          <w:b/>
          <w:bCs/>
          <w:color w:val="auto"/>
          <w:sz w:val="36"/>
          <w:szCs w:val="36"/>
          <w:highlight w:val="none"/>
          <w:lang w:eastAsia="zh-CN"/>
        </w:rPr>
        <w:t>壤</w:t>
      </w:r>
      <w:r>
        <w:rPr>
          <w:rFonts w:hint="eastAsia" w:ascii="仿宋_GB2312" w:hAnsi="仿宋_GB2312" w:eastAsia="仿宋_GB2312" w:cs="仿宋_GB2312"/>
          <w:b/>
          <w:bCs/>
          <w:color w:val="auto"/>
          <w:sz w:val="36"/>
          <w:szCs w:val="36"/>
          <w:highlight w:val="none"/>
        </w:rPr>
        <w:t>环境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2023年，土壤环境质量呈稳中向好态势，全市区域土壤重金属含量总体呈现下降趋势，土壤污染源头防控初见成效。土壤安全利用进一步巩固提升，受污染耕地安全利用率保持100%，重点建设用地安全利用率达到100%。</w:t>
      </w:r>
    </w:p>
    <w:p>
      <w:pPr>
        <w:keepNext w:val="0"/>
        <w:keepLines w:val="0"/>
        <w:pageBreakBefore w:val="0"/>
        <w:widowControl w:val="0"/>
        <w:kinsoku/>
        <w:wordWrap/>
        <w:overflowPunct/>
        <w:topLinePunct w:val="0"/>
        <w:bidi w:val="0"/>
        <w:snapToGrid/>
        <w:spacing w:before="300" w:after="300" w:line="600" w:lineRule="exact"/>
        <w:ind w:right="0" w:rightChars="0"/>
        <w:jc w:val="center"/>
        <w:textAlignment w:val="auto"/>
        <w:outlineLvl w:val="9"/>
        <w:rPr>
          <w:rFonts w:hint="eastAsia"/>
          <w:color w:val="auto"/>
        </w:rPr>
      </w:pPr>
      <w:r>
        <w:rPr>
          <w:rFonts w:hint="eastAsia" w:ascii="仿宋_GB2312" w:hAnsi="仿宋_GB2312" w:eastAsia="仿宋_GB2312" w:cs="仿宋_GB2312"/>
          <w:b/>
          <w:bCs/>
          <w:color w:val="auto"/>
          <w:sz w:val="36"/>
          <w:szCs w:val="36"/>
          <w:highlight w:val="none"/>
        </w:rPr>
        <w:t>声环境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 xml:space="preserve">城市声环境质量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2023年，安阳市区域昼间声环境总体水平为较好，平均等效声级为53.0分贝，同比下降0.6分贝；区域夜间声环境总体水平为较好，平均等效声级为43.5分贝。安阳市道路交通昼间声环境质量总体水平为好，平均等效声级为64.2分贝，同比下降1.0分贝；道路交通夜间声环境质量总体水平为较好，平均等效声级为60.0分贝。安阳市功能区声环境昼间达标率为85.0%，夜间达标率为62.5%，同比分别上升7.5、5.0个百分点。</w:t>
      </w:r>
    </w:p>
    <w:p>
      <w:pPr>
        <w:keepNext w:val="0"/>
        <w:keepLines w:val="0"/>
        <w:pageBreakBefore w:val="0"/>
        <w:widowControl w:val="0"/>
        <w:kinsoku/>
        <w:wordWrap/>
        <w:overflowPunct/>
        <w:topLinePunct w:val="0"/>
        <w:bidi w:val="0"/>
        <w:snapToGrid/>
        <w:spacing w:before="300" w:after="300" w:line="600" w:lineRule="exact"/>
        <w:ind w:right="0" w:rightChars="0"/>
        <w:jc w:val="center"/>
        <w:textAlignment w:val="auto"/>
        <w:outlineLvl w:val="9"/>
        <w:rPr>
          <w:rFonts w:hint="eastAsia"/>
          <w:color w:val="auto"/>
        </w:rPr>
      </w:pPr>
      <w:r>
        <w:rPr>
          <w:rFonts w:hint="eastAsia" w:ascii="仿宋_GB2312" w:hAnsi="仿宋_GB2312" w:eastAsia="仿宋_GB2312" w:cs="仿宋_GB2312"/>
          <w:b/>
          <w:bCs/>
          <w:color w:val="auto"/>
          <w:sz w:val="36"/>
          <w:szCs w:val="36"/>
          <w:highlight w:val="none"/>
        </w:rPr>
        <w:t>辐射环境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1"/>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全市核技术利用单位</w:t>
      </w:r>
      <w:r>
        <w:rPr>
          <w:rFonts w:hint="eastAsia" w:ascii="仿宋_GB2312" w:hAnsi="仿宋_GB2312" w:eastAsia="仿宋_GB2312" w:cs="仿宋_GB2312"/>
          <w:b w:val="0"/>
          <w:bCs w:val="0"/>
          <w:color w:val="auto"/>
          <w:sz w:val="32"/>
          <w:szCs w:val="32"/>
          <w:highlight w:val="none"/>
          <w:lang w:val="en" w:eastAsia="zh-CN"/>
        </w:rPr>
        <w:t>318</w:t>
      </w:r>
      <w:r>
        <w:rPr>
          <w:rFonts w:hint="eastAsia" w:ascii="仿宋_GB2312" w:hAnsi="仿宋_GB2312" w:eastAsia="仿宋_GB2312" w:cs="仿宋_GB2312"/>
          <w:b w:val="0"/>
          <w:bCs w:val="0"/>
          <w:color w:val="auto"/>
          <w:sz w:val="32"/>
          <w:szCs w:val="32"/>
          <w:highlight w:val="none"/>
          <w:lang w:val="en-US" w:eastAsia="zh-CN"/>
        </w:rPr>
        <w:t xml:space="preserve">家，其中涉源单位22家，在用放射源166枚（其中Ⅰ类源1枚、Ⅱ类源1枚、Ⅲ类源3枚、Ⅳ类源51枚、Ⅴ类源110枚）。使用射线装置单位296家，在用射线装置830台（其中Ⅱ类装置143台，Ⅲ类装置687台）。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1"/>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sz w:val="32"/>
          <w:szCs w:val="32"/>
          <w:highlight w:val="none"/>
          <w:lang w:val="en-US" w:eastAsia="zh-CN"/>
        </w:rPr>
        <w:t>2023年，全市辐射环境质量保持良好，未发生辐射事故。安阳市电离辐射月均值在108.46--91.88纳戈瑞/小时之间，年均值97.73纳戈瑞/小时，在天然辐射本底范围内，电磁辐射水平低于国家规定的电磁环境控制限值。</w:t>
      </w:r>
    </w:p>
    <w:p>
      <w:pPr>
        <w:keepNext w:val="0"/>
        <w:keepLines w:val="0"/>
        <w:pageBreakBefore w:val="0"/>
        <w:widowControl w:val="0"/>
        <w:kinsoku/>
        <w:wordWrap/>
        <w:overflowPunct/>
        <w:topLinePunct w:val="0"/>
        <w:bidi w:val="0"/>
        <w:snapToGrid/>
        <w:spacing w:before="300" w:after="300" w:line="600" w:lineRule="exact"/>
        <w:ind w:right="0" w:rightChars="0"/>
        <w:jc w:val="center"/>
        <w:textAlignment w:val="auto"/>
        <w:outlineLvl w:val="9"/>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lang w:val="en-US" w:eastAsia="zh-CN"/>
        </w:rPr>
        <w:t>自然</w:t>
      </w:r>
      <w:r>
        <w:rPr>
          <w:rFonts w:hint="eastAsia" w:ascii="仿宋_GB2312" w:hAnsi="仿宋_GB2312" w:eastAsia="仿宋_GB2312" w:cs="仿宋_GB2312"/>
          <w:b/>
          <w:bCs/>
          <w:color w:val="auto"/>
          <w:sz w:val="36"/>
          <w:szCs w:val="36"/>
          <w:highlight w:val="none"/>
        </w:rPr>
        <w:t>生态环境</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highlight w:val="yellow"/>
          <w:u w:val="none" w:color="auto"/>
          <w:lang w:val="en-US" w:eastAsia="zh-CN"/>
        </w:rPr>
      </w:pPr>
      <w:r>
        <w:rPr>
          <w:rFonts w:hint="eastAsia" w:ascii="仿宋_GB2312" w:hAnsi="仿宋_GB2312" w:eastAsia="仿宋_GB2312" w:cs="仿宋_GB2312"/>
          <w:b/>
          <w:bCs/>
          <w:color w:val="auto"/>
          <w:sz w:val="32"/>
          <w:szCs w:val="32"/>
          <w:highlight w:val="none"/>
          <w:u w:val="none" w:color="auto"/>
        </w:rPr>
        <w:t>气候</w:t>
      </w:r>
      <w:r>
        <w:rPr>
          <w:rFonts w:hint="eastAsia" w:ascii="仿宋_GB2312" w:hAnsi="仿宋_GB2312" w:eastAsia="仿宋_GB2312" w:cs="仿宋_GB2312"/>
          <w:b/>
          <w:bCs/>
          <w:color w:val="auto"/>
          <w:sz w:val="32"/>
          <w:szCs w:val="32"/>
          <w:highlight w:val="none"/>
          <w:u w:val="none" w:color="auto"/>
          <w:lang w:val="en-US" w:eastAsia="zh-CN"/>
        </w:rPr>
        <w:t>变化</w:t>
      </w:r>
      <w:r>
        <w:rPr>
          <w:rFonts w:hint="eastAsia" w:ascii="仿宋_GB2312" w:hAnsi="仿宋_GB2312" w:eastAsia="仿宋_GB2312" w:cs="仿宋_GB2312"/>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 xml:space="preserve"> 2023年</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全市平均气温</w:t>
      </w:r>
      <w:r>
        <w:rPr>
          <w:rFonts w:hint="eastAsia" w:ascii="仿宋_GB2312" w:hAnsi="仿宋_GB2312" w:eastAsia="仿宋_GB2312" w:cs="仿宋_GB2312"/>
          <w:color w:val="auto"/>
          <w:sz w:val="32"/>
          <w:szCs w:val="32"/>
          <w:highlight w:val="none"/>
          <w:u w:val="none" w:color="auto"/>
          <w:lang w:val="en-US" w:eastAsia="zh-CN"/>
        </w:rPr>
        <w:t>15.3</w:t>
      </w:r>
      <w:r>
        <w:rPr>
          <w:rFonts w:hint="eastAsia" w:ascii="仿宋_GB2312" w:hAnsi="仿宋_GB2312" w:eastAsia="仿宋_GB2312" w:cs="仿宋_GB2312"/>
          <w:color w:val="auto"/>
          <w:sz w:val="32"/>
          <w:szCs w:val="32"/>
          <w:highlight w:val="none"/>
          <w:u w:val="none" w:color="auto"/>
        </w:rPr>
        <w:t xml:space="preserve"> ℃,较常年同期偏</w:t>
      </w:r>
      <w:r>
        <w:rPr>
          <w:rFonts w:hint="eastAsia" w:ascii="仿宋_GB2312" w:hAnsi="仿宋_GB2312" w:eastAsia="仿宋_GB2312" w:cs="仿宋_GB2312"/>
          <w:color w:val="auto"/>
          <w:sz w:val="32"/>
          <w:szCs w:val="32"/>
          <w:highlight w:val="none"/>
          <w:u w:val="none" w:color="auto"/>
          <w:lang w:val="en-US" w:eastAsia="zh-CN"/>
        </w:rPr>
        <w:t>高1.2</w:t>
      </w:r>
      <w:r>
        <w:rPr>
          <w:rFonts w:hint="eastAsia" w:ascii="仿宋_GB2312" w:hAnsi="仿宋_GB2312" w:eastAsia="仿宋_GB2312" w:cs="仿宋_GB2312"/>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全市平均降水量</w:t>
      </w:r>
      <w:r>
        <w:rPr>
          <w:rFonts w:hint="eastAsia" w:ascii="仿宋_GB2312" w:hAnsi="仿宋_GB2312" w:eastAsia="仿宋_GB2312" w:cs="仿宋_GB2312"/>
          <w:color w:val="auto"/>
          <w:sz w:val="32"/>
          <w:szCs w:val="32"/>
          <w:highlight w:val="none"/>
          <w:u w:val="none" w:color="auto"/>
          <w:lang w:val="en-US" w:eastAsia="zh-CN"/>
        </w:rPr>
        <w:t>1005.5</w:t>
      </w:r>
      <w:r>
        <w:rPr>
          <w:rFonts w:hint="eastAsia" w:ascii="仿宋_GB2312" w:hAnsi="仿宋_GB2312" w:eastAsia="仿宋_GB2312" w:cs="仿宋_GB2312"/>
          <w:color w:val="auto"/>
          <w:sz w:val="32"/>
          <w:szCs w:val="32"/>
          <w:highlight w:val="none"/>
          <w:u w:val="none" w:color="auto"/>
        </w:rPr>
        <w:t>毫米，较常年同期偏</w:t>
      </w:r>
      <w:r>
        <w:rPr>
          <w:rFonts w:hint="eastAsia" w:ascii="仿宋_GB2312" w:hAnsi="仿宋_GB2312" w:eastAsia="仿宋_GB2312" w:cs="仿宋_GB2312"/>
          <w:color w:val="auto"/>
          <w:sz w:val="32"/>
          <w:szCs w:val="32"/>
          <w:highlight w:val="none"/>
          <w:u w:val="none" w:color="auto"/>
          <w:lang w:val="en-US" w:eastAsia="zh-CN"/>
        </w:rPr>
        <w:t>多72.4</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与2022年相比，2023年平均风速偏</w:t>
      </w:r>
      <w:r>
        <w:rPr>
          <w:rFonts w:hint="eastAsia" w:ascii="仿宋_GB2312" w:hAnsi="仿宋_GB2312" w:eastAsia="仿宋_GB2312" w:cs="仿宋_GB2312"/>
          <w:color w:val="auto"/>
          <w:sz w:val="32"/>
          <w:szCs w:val="32"/>
          <w:highlight w:val="none"/>
          <w:u w:val="none" w:color="auto"/>
          <w:lang w:val="en-US" w:eastAsia="zh-CN"/>
        </w:rPr>
        <w:t>强0.3</w:t>
      </w:r>
      <w:r>
        <w:rPr>
          <w:rFonts w:hint="eastAsia" w:ascii="仿宋_GB2312" w:hAnsi="仿宋_GB2312" w:eastAsia="仿宋_GB2312" w:cs="仿宋_GB2312"/>
          <w:color w:val="auto"/>
          <w:sz w:val="32"/>
          <w:szCs w:val="32"/>
          <w:highlight w:val="none"/>
          <w:u w:val="none" w:color="auto"/>
        </w:rPr>
        <w:t>m/s</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小风日数偏</w:t>
      </w:r>
      <w:r>
        <w:rPr>
          <w:rFonts w:hint="eastAsia" w:ascii="仿宋_GB2312" w:hAnsi="仿宋_GB2312" w:eastAsia="仿宋_GB2312" w:cs="仿宋_GB2312"/>
          <w:color w:val="auto"/>
          <w:sz w:val="32"/>
          <w:szCs w:val="32"/>
          <w:highlight w:val="none"/>
          <w:u w:val="none" w:color="auto"/>
          <w:lang w:val="en-US" w:eastAsia="zh-CN"/>
        </w:rPr>
        <w:t>少</w:t>
      </w:r>
      <w:r>
        <w:rPr>
          <w:rFonts w:hint="eastAsia" w:ascii="仿宋_GB2312" w:hAnsi="仿宋_GB2312" w:eastAsia="仿宋_GB2312" w:cs="仿宋_GB2312"/>
          <w:color w:val="auto"/>
          <w:sz w:val="32"/>
          <w:szCs w:val="32"/>
          <w:highlight w:val="none"/>
          <w:u w:val="none" w:color="auto"/>
        </w:rPr>
        <w:t>，大气水平扩散条件总体较2022年偏</w:t>
      </w:r>
      <w:r>
        <w:rPr>
          <w:rFonts w:hint="eastAsia" w:ascii="仿宋_GB2312" w:hAnsi="仿宋_GB2312" w:eastAsia="仿宋_GB2312" w:cs="仿宋_GB2312"/>
          <w:color w:val="auto"/>
          <w:sz w:val="32"/>
          <w:szCs w:val="32"/>
          <w:highlight w:val="none"/>
          <w:u w:val="none" w:color="auto"/>
          <w:lang w:val="en-US" w:eastAsia="zh-CN"/>
        </w:rPr>
        <w:t>强。</w:t>
      </w:r>
      <w:r>
        <w:rPr>
          <w:rFonts w:hint="eastAsia" w:ascii="仿宋_GB2312" w:hAnsi="仿宋_GB2312" w:eastAsia="仿宋_GB2312" w:cs="仿宋_GB2312"/>
          <w:color w:val="auto"/>
          <w:sz w:val="32"/>
          <w:szCs w:val="32"/>
          <w:highlight w:val="none"/>
          <w:u w:val="none" w:color="auto"/>
        </w:rPr>
        <w:t>2023年降水日相比2022年明显偏</w:t>
      </w:r>
      <w:r>
        <w:rPr>
          <w:rFonts w:hint="eastAsia" w:ascii="仿宋_GB2312" w:hAnsi="仿宋_GB2312" w:eastAsia="仿宋_GB2312" w:cs="仿宋_GB2312"/>
          <w:color w:val="auto"/>
          <w:sz w:val="32"/>
          <w:szCs w:val="32"/>
          <w:highlight w:val="none"/>
          <w:u w:val="none" w:color="auto"/>
          <w:lang w:val="en-US" w:eastAsia="zh-CN"/>
        </w:rPr>
        <w:t>多，</w:t>
      </w:r>
      <w:r>
        <w:rPr>
          <w:rFonts w:hint="eastAsia" w:ascii="仿宋_GB2312" w:hAnsi="仿宋_GB2312" w:eastAsia="仿宋_GB2312" w:cs="仿宋_GB2312"/>
          <w:color w:val="auto"/>
          <w:sz w:val="32"/>
          <w:szCs w:val="32"/>
          <w:highlight w:val="none"/>
          <w:u w:val="none" w:color="auto"/>
        </w:rPr>
        <w:t>降水对大气污染物的冲刷、稀释作用偏</w:t>
      </w:r>
      <w:r>
        <w:rPr>
          <w:rFonts w:hint="eastAsia" w:ascii="仿宋_GB2312" w:hAnsi="仿宋_GB2312" w:eastAsia="仿宋_GB2312" w:cs="仿宋_GB2312"/>
          <w:color w:val="auto"/>
          <w:sz w:val="32"/>
          <w:szCs w:val="32"/>
          <w:highlight w:val="none"/>
          <w:u w:val="none" w:color="auto"/>
          <w:lang w:val="en-US" w:eastAsia="zh-CN"/>
        </w:rPr>
        <w:t>强。</w:t>
      </w:r>
      <w:r>
        <w:rPr>
          <w:rFonts w:hint="eastAsia" w:ascii="仿宋_GB2312" w:hAnsi="仿宋_GB2312" w:eastAsia="仿宋_GB2312" w:cs="仿宋_GB2312"/>
          <w:color w:val="auto"/>
          <w:sz w:val="32"/>
          <w:szCs w:val="32"/>
          <w:highlight w:val="none"/>
          <w:u w:val="none" w:color="auto"/>
        </w:rPr>
        <w:t>与2022年相比，2023年我市大气自净能力偏</w:t>
      </w:r>
      <w:r>
        <w:rPr>
          <w:rFonts w:hint="eastAsia" w:ascii="仿宋_GB2312" w:hAnsi="仿宋_GB2312" w:eastAsia="仿宋_GB2312" w:cs="仿宋_GB2312"/>
          <w:color w:val="auto"/>
          <w:sz w:val="32"/>
          <w:szCs w:val="32"/>
          <w:highlight w:val="none"/>
          <w:u w:val="none" w:color="auto"/>
          <w:lang w:val="en-US" w:eastAsia="zh-CN"/>
        </w:rPr>
        <w:t>强</w:t>
      </w:r>
      <w:r>
        <w:rPr>
          <w:rFonts w:hint="eastAsia" w:ascii="仿宋_GB2312" w:hAnsi="仿宋_GB2312" w:eastAsia="仿宋_GB2312" w:cs="仿宋_GB2312"/>
          <w:color w:val="auto"/>
          <w:sz w:val="32"/>
          <w:szCs w:val="32"/>
          <w:highlight w:val="none"/>
          <w:u w:val="none" w:color="auto"/>
        </w:rPr>
        <w:t>。综合来看，2023年我市气象条件对污染物的扩散</w:t>
      </w:r>
      <w:r>
        <w:rPr>
          <w:rFonts w:hint="eastAsia" w:ascii="仿宋_GB2312" w:hAnsi="仿宋_GB2312" w:eastAsia="仿宋_GB2312" w:cs="仿宋_GB2312"/>
          <w:color w:val="auto"/>
          <w:sz w:val="32"/>
          <w:szCs w:val="32"/>
          <w:highlight w:val="none"/>
          <w:u w:val="none" w:color="auto"/>
          <w:lang w:val="en-US" w:eastAsia="zh-CN"/>
        </w:rPr>
        <w:t>影响</w:t>
      </w:r>
      <w:r>
        <w:rPr>
          <w:rFonts w:hint="eastAsia" w:ascii="仿宋_GB2312" w:hAnsi="仿宋_GB2312" w:eastAsia="仿宋_GB2312" w:cs="仿宋_GB2312"/>
          <w:color w:val="auto"/>
          <w:sz w:val="32"/>
          <w:szCs w:val="32"/>
          <w:highlight w:val="none"/>
          <w:u w:val="none" w:color="auto"/>
        </w:rPr>
        <w:t>与2022年相比偏</w:t>
      </w:r>
      <w:r>
        <w:rPr>
          <w:rFonts w:hint="eastAsia" w:ascii="仿宋_GB2312" w:hAnsi="仿宋_GB2312" w:eastAsia="仿宋_GB2312" w:cs="仿宋_GB2312"/>
          <w:color w:val="auto"/>
          <w:sz w:val="32"/>
          <w:szCs w:val="32"/>
          <w:highlight w:val="none"/>
          <w:u w:val="none" w:color="auto"/>
          <w:lang w:val="en-US" w:eastAsia="zh-CN"/>
        </w:rPr>
        <w:t>强</w:t>
      </w:r>
      <w:r>
        <w:rPr>
          <w:rFonts w:hint="eastAsia" w:ascii="仿宋_GB2312" w:hAnsi="仿宋_GB2312" w:eastAsia="仿宋_GB2312" w:cs="仿宋_GB2312"/>
          <w:color w:val="auto"/>
          <w:sz w:val="32"/>
          <w:szCs w:val="32"/>
          <w:highlight w:val="none"/>
          <w:u w:val="none" w:color="auto"/>
        </w:rPr>
        <w:t>。</w:t>
      </w:r>
    </w:p>
    <w:p>
      <w:pPr>
        <w:keepNext w:val="0"/>
        <w:keepLines w:val="0"/>
        <w:pageBreakBefore w:val="0"/>
        <w:widowControl w:val="0"/>
        <w:kinsoku/>
        <w:wordWrap/>
        <w:overflowPunct/>
        <w:topLinePunct w:val="0"/>
        <w:autoSpaceDE/>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yellow"/>
          <w:lang w:val="en-US"/>
        </w:rPr>
      </w:pPr>
      <w:r>
        <w:rPr>
          <w:rFonts w:hint="eastAsia" w:ascii="仿宋_GB2312" w:hAnsi="仿宋_GB2312" w:eastAsia="仿宋_GB2312" w:cs="仿宋_GB2312"/>
          <w:b/>
          <w:bCs/>
          <w:color w:val="auto"/>
          <w:sz w:val="32"/>
          <w:szCs w:val="32"/>
          <w:highlight w:val="none"/>
          <w:u w:val="none" w:color="auto"/>
          <w:lang w:val="en-US" w:eastAsia="zh-CN"/>
        </w:rPr>
        <w:t xml:space="preserve">农业农村生态 </w:t>
      </w: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b w:val="0"/>
          <w:bCs w:val="0"/>
          <w:color w:val="auto"/>
          <w:sz w:val="32"/>
          <w:szCs w:val="32"/>
          <w:highlight w:val="none"/>
          <w:lang w:val="en" w:eastAsia="zh-CN"/>
        </w:rPr>
        <w:t>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 w:eastAsia="zh-CN"/>
        </w:rPr>
        <w:t>年，全市主要农作物绿色防控覆盖率为</w:t>
      </w:r>
      <w:r>
        <w:rPr>
          <w:rFonts w:hint="eastAsia" w:ascii="仿宋_GB2312" w:hAnsi="仿宋_GB2312" w:eastAsia="仿宋_GB2312" w:cs="仿宋_GB2312"/>
          <w:b w:val="0"/>
          <w:bCs w:val="0"/>
          <w:color w:val="auto"/>
          <w:sz w:val="32"/>
          <w:szCs w:val="32"/>
          <w:highlight w:val="none"/>
          <w:lang w:val="en-US" w:eastAsia="zh-CN"/>
        </w:rPr>
        <w:t xml:space="preserve">55.7 </w:t>
      </w:r>
      <w:r>
        <w:rPr>
          <w:rFonts w:hint="eastAsia" w:ascii="仿宋_GB2312" w:hAnsi="仿宋_GB2312" w:eastAsia="仿宋_GB2312" w:cs="仿宋_GB2312"/>
          <w:b w:val="0"/>
          <w:bCs w:val="0"/>
          <w:color w:val="auto"/>
          <w:sz w:val="32"/>
          <w:szCs w:val="32"/>
          <w:highlight w:val="none"/>
          <w:lang w:val="en" w:eastAsia="zh-CN"/>
        </w:rPr>
        <w:t>%，病虫害专业化统防统治覆盖率</w:t>
      </w:r>
      <w:r>
        <w:rPr>
          <w:rFonts w:hint="eastAsia" w:ascii="仿宋_GB2312" w:hAnsi="仿宋_GB2312" w:eastAsia="仿宋_GB2312" w:cs="仿宋_GB2312"/>
          <w:b w:val="0"/>
          <w:bCs w:val="0"/>
          <w:color w:val="auto"/>
          <w:sz w:val="32"/>
          <w:szCs w:val="32"/>
          <w:highlight w:val="none"/>
          <w:lang w:val="en-US" w:eastAsia="zh-CN"/>
        </w:rPr>
        <w:t>52.31</w:t>
      </w:r>
      <w:r>
        <w:rPr>
          <w:rFonts w:hint="eastAsia" w:ascii="仿宋_GB2312" w:hAnsi="仿宋_GB2312" w:eastAsia="仿宋_GB2312" w:cs="仿宋_GB2312"/>
          <w:b w:val="0"/>
          <w:bCs w:val="0"/>
          <w:color w:val="auto"/>
          <w:sz w:val="32"/>
          <w:szCs w:val="32"/>
          <w:highlight w:val="none"/>
          <w:lang w:val="en" w:eastAsia="zh-CN"/>
        </w:rPr>
        <w:t xml:space="preserve"> %。全市农作物病虫害防治主要农药实际用量1225.06吨，比202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 w:eastAsia="zh-CN"/>
        </w:rPr>
        <w:t>年增加</w:t>
      </w:r>
      <w:r>
        <w:rPr>
          <w:rFonts w:hint="eastAsia" w:ascii="仿宋_GB2312" w:hAnsi="仿宋_GB2312" w:eastAsia="仿宋_GB2312" w:cs="仿宋_GB2312"/>
          <w:b w:val="0"/>
          <w:bCs w:val="0"/>
          <w:color w:val="auto"/>
          <w:sz w:val="32"/>
          <w:szCs w:val="32"/>
          <w:highlight w:val="none"/>
          <w:lang w:val="en-US" w:eastAsia="zh-CN"/>
        </w:rPr>
        <w:t xml:space="preserve">0.12 </w:t>
      </w:r>
      <w:r>
        <w:rPr>
          <w:rFonts w:hint="eastAsia" w:ascii="仿宋_GB2312" w:hAnsi="仿宋_GB2312" w:eastAsia="仿宋_GB2312" w:cs="仿宋_GB2312"/>
          <w:b w:val="0"/>
          <w:bCs w:val="0"/>
          <w:color w:val="auto"/>
          <w:sz w:val="32"/>
          <w:szCs w:val="32"/>
          <w:highlight w:val="none"/>
          <w:lang w:val="en" w:eastAsia="zh-CN"/>
        </w:rPr>
        <w:t>%。全市主要农作物测土配方施肥技术覆盖率达到</w:t>
      </w:r>
      <w:r>
        <w:rPr>
          <w:rFonts w:hint="eastAsia" w:ascii="仿宋_GB2312" w:hAnsi="仿宋_GB2312" w:eastAsia="仿宋_GB2312" w:cs="仿宋_GB2312"/>
          <w:b w:val="0"/>
          <w:bCs w:val="0"/>
          <w:color w:val="auto"/>
          <w:sz w:val="32"/>
          <w:szCs w:val="32"/>
          <w:highlight w:val="none"/>
          <w:lang w:val="en-US" w:eastAsia="zh-CN"/>
        </w:rPr>
        <w:t xml:space="preserve">90% </w:t>
      </w:r>
      <w:r>
        <w:rPr>
          <w:rFonts w:hint="eastAsia" w:ascii="仿宋_GB2312" w:hAnsi="仿宋_GB2312" w:eastAsia="仿宋_GB2312" w:cs="仿宋_GB2312"/>
          <w:b w:val="0"/>
          <w:bCs w:val="0"/>
          <w:color w:val="auto"/>
          <w:sz w:val="32"/>
          <w:szCs w:val="32"/>
          <w:highlight w:val="none"/>
          <w:lang w:val="en" w:eastAsia="zh-CN"/>
        </w:rPr>
        <w:t>，主要粮食作物化肥利用率</w:t>
      </w:r>
      <w:r>
        <w:rPr>
          <w:rFonts w:hint="eastAsia" w:ascii="仿宋_GB2312" w:hAnsi="仿宋_GB2312" w:eastAsia="仿宋_GB2312" w:cs="仿宋_GB2312"/>
          <w:b w:val="0"/>
          <w:bCs w:val="0"/>
          <w:color w:val="auto"/>
          <w:sz w:val="32"/>
          <w:szCs w:val="32"/>
          <w:highlight w:val="none"/>
          <w:lang w:val="en-US" w:eastAsia="zh-CN"/>
        </w:rPr>
        <w:t xml:space="preserve">41.28 </w:t>
      </w:r>
      <w:r>
        <w:rPr>
          <w:rFonts w:hint="eastAsia" w:ascii="仿宋_GB2312" w:hAnsi="仿宋_GB2312" w:eastAsia="仿宋_GB2312" w:cs="仿宋_GB2312"/>
          <w:b w:val="0"/>
          <w:bCs w:val="0"/>
          <w:color w:val="auto"/>
          <w:sz w:val="32"/>
          <w:szCs w:val="32"/>
          <w:highlight w:val="none"/>
          <w:lang w:val="en" w:eastAsia="zh-CN"/>
        </w:rPr>
        <w:t>%。</w:t>
      </w:r>
    </w:p>
    <w:p>
      <w:pPr>
        <w:keepNext w:val="0"/>
        <w:keepLines w:val="0"/>
        <w:pageBreakBefore w:val="0"/>
        <w:widowControl w:val="0"/>
        <w:kinsoku/>
        <w:wordWrap/>
        <w:overflowPunct/>
        <w:topLinePunct w:val="0"/>
        <w:autoSpaceDE/>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color w:val="auto"/>
          <w:sz w:val="32"/>
          <w:szCs w:val="32"/>
          <w:highlight w:val="none"/>
          <w:u w:val="none" w:color="auto"/>
        </w:rPr>
        <w:t>林业生态</w:t>
      </w:r>
      <w:r>
        <w:rPr>
          <w:rFonts w:hint="eastAsia" w:ascii="仿宋_GB2312" w:hAnsi="仿宋_GB2312" w:eastAsia="仿宋_GB2312" w:cs="仿宋_GB2312"/>
          <w:b/>
          <w:color w:val="auto"/>
          <w:sz w:val="32"/>
          <w:szCs w:val="32"/>
          <w:highlight w:val="none"/>
          <w:u w:val="none" w:color="auto"/>
          <w:lang w:val="en-US" w:eastAsia="zh-CN"/>
        </w:rPr>
        <w:t>及</w:t>
      </w:r>
      <w:r>
        <w:rPr>
          <w:rFonts w:hint="eastAsia" w:ascii="仿宋_GB2312" w:hAnsi="仿宋_GB2312" w:eastAsia="仿宋_GB2312" w:cs="仿宋_GB2312"/>
          <w:b/>
          <w:color w:val="auto"/>
          <w:sz w:val="32"/>
          <w:szCs w:val="32"/>
          <w:highlight w:val="none"/>
          <w:u w:val="none" w:color="auto"/>
        </w:rPr>
        <w:t>生物多样性</w:t>
      </w:r>
      <w:r>
        <w:rPr>
          <w:rFonts w:hint="eastAsia" w:ascii="仿宋_GB2312" w:hAnsi="仿宋_GB2312" w:eastAsia="仿宋_GB2312" w:cs="仿宋_GB2312"/>
          <w:b/>
          <w:color w:val="auto"/>
          <w:sz w:val="32"/>
          <w:szCs w:val="32"/>
          <w:highlight w:val="none"/>
          <w:u w:val="none" w:color="auto"/>
          <w:lang w:val="en-US" w:eastAsia="zh-CN"/>
        </w:rPr>
        <w:t xml:space="preserve">   </w:t>
      </w:r>
      <w:r>
        <w:rPr>
          <w:rFonts w:hint="eastAsia" w:ascii="仿宋_GB2312" w:hAnsi="仿宋_GB2312" w:eastAsia="仿宋_GB2312" w:cs="仿宋_GB2312"/>
          <w:b w:val="0"/>
          <w:bCs w:val="0"/>
          <w:color w:val="auto"/>
          <w:sz w:val="32"/>
          <w:szCs w:val="32"/>
          <w:highlight w:val="none"/>
          <w:lang w:val="en" w:eastAsia="zh-CN"/>
        </w:rPr>
        <w:t>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 w:eastAsia="zh-CN"/>
        </w:rPr>
        <w:t>年，我市林木覆盖率</w:t>
      </w:r>
      <w:r>
        <w:rPr>
          <w:rFonts w:hint="eastAsia" w:ascii="仿宋_GB2312" w:hAnsi="仿宋_GB2312" w:eastAsia="仿宋_GB2312" w:cs="仿宋_GB2312"/>
          <w:b w:val="0"/>
          <w:bCs w:val="0"/>
          <w:color w:val="auto"/>
          <w:sz w:val="32"/>
          <w:szCs w:val="32"/>
          <w:highlight w:val="none"/>
          <w:lang w:val="en-US" w:eastAsia="zh-CN"/>
        </w:rPr>
        <w:t xml:space="preserve">26.09 </w:t>
      </w:r>
      <w:r>
        <w:rPr>
          <w:rFonts w:hint="eastAsia" w:ascii="仿宋_GB2312" w:hAnsi="仿宋_GB2312" w:eastAsia="仿宋_GB2312" w:cs="仿宋_GB2312"/>
          <w:b w:val="0"/>
          <w:bCs w:val="0"/>
          <w:color w:val="auto"/>
          <w:sz w:val="32"/>
          <w:szCs w:val="32"/>
          <w:highlight w:val="none"/>
          <w:lang w:val="en" w:eastAsia="zh-CN"/>
        </w:rPr>
        <w:t>%。全市分布国家保护陆生野生动物</w:t>
      </w:r>
      <w:r>
        <w:rPr>
          <w:rFonts w:hint="eastAsia" w:ascii="仿宋_GB2312" w:hAnsi="仿宋_GB2312" w:eastAsia="仿宋_GB2312" w:cs="仿宋_GB2312"/>
          <w:b w:val="0"/>
          <w:bCs w:val="0"/>
          <w:color w:val="auto"/>
          <w:sz w:val="32"/>
          <w:szCs w:val="32"/>
          <w:highlight w:val="none"/>
          <w:lang w:val="en-US" w:eastAsia="zh-CN"/>
        </w:rPr>
        <w:t>298</w:t>
      </w:r>
      <w:r>
        <w:rPr>
          <w:rFonts w:hint="eastAsia" w:ascii="仿宋_GB2312" w:hAnsi="仿宋_GB2312" w:eastAsia="仿宋_GB2312" w:cs="仿宋_GB2312"/>
          <w:b w:val="0"/>
          <w:bCs w:val="0"/>
          <w:color w:val="auto"/>
          <w:sz w:val="32"/>
          <w:szCs w:val="32"/>
          <w:highlight w:val="none"/>
          <w:lang w:val="en" w:eastAsia="zh-CN"/>
        </w:rPr>
        <w:t>种，其中两栖类</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 w:eastAsia="zh-CN"/>
        </w:rPr>
        <w:t>种，爬行类</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lang w:val="en" w:eastAsia="zh-CN"/>
        </w:rPr>
        <w:t>种，鸟类</w:t>
      </w:r>
      <w:r>
        <w:rPr>
          <w:rFonts w:hint="eastAsia" w:ascii="仿宋_GB2312" w:hAnsi="仿宋_GB2312" w:eastAsia="仿宋_GB2312" w:cs="仿宋_GB2312"/>
          <w:b w:val="0"/>
          <w:bCs w:val="0"/>
          <w:color w:val="auto"/>
          <w:sz w:val="32"/>
          <w:szCs w:val="32"/>
          <w:highlight w:val="none"/>
          <w:lang w:val="en-US" w:eastAsia="zh-CN"/>
        </w:rPr>
        <w:t>251</w:t>
      </w:r>
      <w:r>
        <w:rPr>
          <w:rFonts w:hint="eastAsia" w:ascii="仿宋_GB2312" w:hAnsi="仿宋_GB2312" w:eastAsia="仿宋_GB2312" w:cs="仿宋_GB2312"/>
          <w:b w:val="0"/>
          <w:bCs w:val="0"/>
          <w:color w:val="auto"/>
          <w:sz w:val="32"/>
          <w:szCs w:val="32"/>
          <w:highlight w:val="none"/>
          <w:lang w:val="en" w:eastAsia="zh-CN"/>
        </w:rPr>
        <w:t>种，兽类</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lang w:val="en" w:eastAsia="zh-CN"/>
        </w:rPr>
        <w:t>种。国家一级重点保护野生动物有</w:t>
      </w:r>
      <w:r>
        <w:rPr>
          <w:rFonts w:hint="eastAsia" w:ascii="仿宋_GB2312" w:hAnsi="仿宋_GB2312" w:eastAsia="仿宋_GB2312" w:cs="仿宋_GB2312"/>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lang w:val="en" w:eastAsia="zh-CN"/>
        </w:rPr>
        <w:t>种，国家二级重点保护野生动物</w:t>
      </w:r>
      <w:r>
        <w:rPr>
          <w:rFonts w:hint="eastAsia" w:ascii="仿宋_GB2312" w:hAnsi="仿宋_GB2312" w:eastAsia="仿宋_GB2312" w:cs="仿宋_GB2312"/>
          <w:b w:val="0"/>
          <w:bCs w:val="0"/>
          <w:color w:val="auto"/>
          <w:sz w:val="32"/>
          <w:szCs w:val="32"/>
          <w:highlight w:val="none"/>
          <w:lang w:val="en-US" w:eastAsia="zh-CN"/>
        </w:rPr>
        <w:t>41</w:t>
      </w:r>
      <w:r>
        <w:rPr>
          <w:rFonts w:hint="eastAsia" w:ascii="仿宋_GB2312" w:hAnsi="仿宋_GB2312" w:eastAsia="仿宋_GB2312" w:cs="仿宋_GB2312"/>
          <w:b w:val="0"/>
          <w:bCs w:val="0"/>
          <w:color w:val="auto"/>
          <w:sz w:val="32"/>
          <w:szCs w:val="32"/>
          <w:highlight w:val="none"/>
          <w:lang w:val="en" w:eastAsia="zh-CN"/>
        </w:rPr>
        <w:t>种，省重点保护野生动物</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val="en" w:eastAsia="zh-CN"/>
        </w:rPr>
        <w:t>种。全市已知的高等植物</w:t>
      </w:r>
      <w:r>
        <w:rPr>
          <w:rFonts w:hint="eastAsia" w:ascii="仿宋_GB2312" w:hAnsi="仿宋_GB2312" w:eastAsia="仿宋_GB2312" w:cs="仿宋_GB2312"/>
          <w:b w:val="0"/>
          <w:bCs w:val="0"/>
          <w:color w:val="auto"/>
          <w:sz w:val="32"/>
          <w:szCs w:val="32"/>
          <w:highlight w:val="none"/>
          <w:lang w:val="en-US" w:eastAsia="zh-CN"/>
        </w:rPr>
        <w:t>2000</w:t>
      </w:r>
      <w:r>
        <w:rPr>
          <w:rFonts w:hint="eastAsia" w:ascii="仿宋_GB2312" w:hAnsi="仿宋_GB2312" w:eastAsia="仿宋_GB2312" w:cs="仿宋_GB2312"/>
          <w:b w:val="0"/>
          <w:bCs w:val="0"/>
          <w:color w:val="auto"/>
          <w:sz w:val="32"/>
          <w:szCs w:val="32"/>
          <w:highlight w:val="none"/>
          <w:lang w:val="en" w:eastAsia="zh-CN"/>
        </w:rPr>
        <w:t>种，列入国家一级重点保护野生植物</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 w:eastAsia="zh-CN"/>
        </w:rPr>
        <w:t>种，国家二级重点保护野生植物</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 w:eastAsia="zh-CN"/>
        </w:rPr>
        <w:t>种，河南省重点保护野生植物23种。</w:t>
      </w:r>
    </w:p>
    <w:p>
      <w:pPr>
        <w:keepNext w:val="0"/>
        <w:keepLines w:val="0"/>
        <w:pageBreakBefore w:val="0"/>
        <w:widowControl w:val="0"/>
        <w:kinsoku/>
        <w:wordWrap/>
        <w:overflowPunct/>
        <w:topLinePunct w:val="0"/>
        <w:autoSpaceDE/>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b/>
          <w:color w:val="auto"/>
          <w:sz w:val="32"/>
          <w:szCs w:val="32"/>
          <w:highlight w:val="none"/>
          <w:u w:val="none" w:color="auto"/>
        </w:rPr>
        <w:t>自然保护地</w:t>
      </w:r>
      <w:r>
        <w:rPr>
          <w:rFonts w:hint="eastAsia" w:ascii="仿宋_GB2312" w:hAnsi="仿宋_GB2312" w:eastAsia="仿宋_GB2312" w:cs="仿宋_GB2312"/>
          <w:b/>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截至202</w:t>
      </w:r>
      <w:r>
        <w:rPr>
          <w:rFonts w:hint="eastAsia"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rPr>
        <w:t>年底，全市已建立省级自然保护区</w:t>
      </w:r>
      <w:r>
        <w:rPr>
          <w:rFonts w:hint="eastAsia" w:ascii="仿宋_GB2312" w:hAnsi="仿宋_GB2312" w:eastAsia="仿宋_GB2312" w:cs="仿宋_GB2312"/>
          <w:color w:val="auto"/>
          <w:sz w:val="32"/>
          <w:szCs w:val="32"/>
          <w:highlight w:val="none"/>
          <w:u w:val="none" w:color="auto"/>
          <w:lang w:val="en-US" w:eastAsia="zh-CN"/>
        </w:rPr>
        <w:t>1处</w:t>
      </w:r>
      <w:r>
        <w:rPr>
          <w:rFonts w:hint="eastAsia" w:ascii="仿宋_GB2312" w:hAnsi="仿宋_GB2312" w:eastAsia="仿宋_GB2312" w:cs="仿宋_GB2312"/>
          <w:color w:val="auto"/>
          <w:sz w:val="32"/>
          <w:szCs w:val="32"/>
          <w:highlight w:val="none"/>
          <w:u w:val="none" w:color="auto"/>
        </w:rPr>
        <w:t>，总面积</w:t>
      </w:r>
      <w:r>
        <w:rPr>
          <w:rFonts w:hint="eastAsia" w:ascii="仿宋_GB2312" w:hAnsi="仿宋_GB2312" w:eastAsia="仿宋_GB2312" w:cs="仿宋_GB2312"/>
          <w:color w:val="auto"/>
          <w:sz w:val="32"/>
          <w:szCs w:val="32"/>
          <w:highlight w:val="none"/>
          <w:u w:val="none" w:color="auto"/>
          <w:lang w:val="en-US" w:eastAsia="zh-CN"/>
        </w:rPr>
        <w:t>0.87</w:t>
      </w:r>
      <w:r>
        <w:rPr>
          <w:rFonts w:hint="eastAsia" w:ascii="仿宋_GB2312" w:hAnsi="仿宋_GB2312" w:eastAsia="仿宋_GB2312" w:cs="仿宋_GB2312"/>
          <w:color w:val="auto"/>
          <w:sz w:val="32"/>
          <w:szCs w:val="32"/>
          <w:highlight w:val="none"/>
          <w:u w:val="none" w:color="auto"/>
        </w:rPr>
        <w:t>万公顷，占全市国土总面积的</w:t>
      </w:r>
      <w:r>
        <w:rPr>
          <w:rFonts w:hint="eastAsia" w:ascii="仿宋_GB2312" w:hAnsi="仿宋_GB2312" w:eastAsia="仿宋_GB2312" w:cs="仿宋_GB2312"/>
          <w:color w:val="auto"/>
          <w:sz w:val="32"/>
          <w:szCs w:val="32"/>
          <w:highlight w:val="none"/>
          <w:u w:val="none" w:color="auto"/>
          <w:lang w:val="en-US" w:eastAsia="zh-CN"/>
        </w:rPr>
        <w:t xml:space="preserve">1.17 </w:t>
      </w:r>
      <w:r>
        <w:rPr>
          <w:rFonts w:hint="eastAsia" w:ascii="仿宋_GB2312" w:hAnsi="仿宋_GB2312" w:eastAsia="仿宋_GB2312" w:cs="仿宋_GB2312"/>
          <w:color w:val="auto"/>
          <w:sz w:val="32"/>
          <w:szCs w:val="32"/>
          <w:highlight w:val="none"/>
          <w:u w:val="none" w:color="auto"/>
        </w:rPr>
        <w:t>%。全市现有省级以上森林公园</w:t>
      </w:r>
      <w:r>
        <w:rPr>
          <w:rFonts w:hint="eastAsia" w:ascii="仿宋_GB2312" w:hAnsi="仿宋_GB2312" w:eastAsia="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rPr>
        <w:t>个，面积</w:t>
      </w:r>
      <w:r>
        <w:rPr>
          <w:rFonts w:hint="eastAsia" w:ascii="仿宋_GB2312" w:hAnsi="仿宋_GB2312" w:eastAsia="仿宋_GB2312" w:cs="仿宋_GB2312"/>
          <w:color w:val="auto"/>
          <w:sz w:val="32"/>
          <w:szCs w:val="32"/>
          <w:highlight w:val="none"/>
          <w:u w:val="none" w:color="auto"/>
          <w:lang w:val="en-US" w:eastAsia="zh-CN"/>
        </w:rPr>
        <w:t>1.60</w:t>
      </w:r>
      <w:r>
        <w:rPr>
          <w:rFonts w:hint="eastAsia" w:ascii="仿宋_GB2312" w:hAnsi="仿宋_GB2312" w:eastAsia="仿宋_GB2312" w:cs="仿宋_GB2312"/>
          <w:color w:val="auto"/>
          <w:sz w:val="32"/>
          <w:szCs w:val="32"/>
          <w:highlight w:val="none"/>
          <w:u w:val="none" w:color="auto"/>
        </w:rPr>
        <w:t>万公顷，其中国家级森林公园</w:t>
      </w:r>
      <w:r>
        <w:rPr>
          <w:rFonts w:hint="eastAsia"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rPr>
        <w:t>个，面积</w:t>
      </w:r>
      <w:r>
        <w:rPr>
          <w:rFonts w:hint="eastAsia" w:ascii="仿宋_GB2312" w:hAnsi="仿宋_GB2312" w:eastAsia="仿宋_GB2312" w:cs="仿宋_GB2312"/>
          <w:color w:val="auto"/>
          <w:sz w:val="32"/>
          <w:szCs w:val="32"/>
          <w:highlight w:val="none"/>
          <w:u w:val="none" w:color="auto"/>
          <w:lang w:val="en-US" w:eastAsia="zh-CN"/>
        </w:rPr>
        <w:t>0.25</w:t>
      </w:r>
      <w:r>
        <w:rPr>
          <w:rFonts w:hint="eastAsia" w:ascii="仿宋_GB2312" w:hAnsi="仿宋_GB2312" w:eastAsia="仿宋_GB2312" w:cs="仿宋_GB2312"/>
          <w:color w:val="auto"/>
          <w:sz w:val="32"/>
          <w:szCs w:val="32"/>
          <w:highlight w:val="none"/>
          <w:u w:val="none" w:color="auto"/>
        </w:rPr>
        <w:t>万公顷。全市现有</w:t>
      </w:r>
      <w:r>
        <w:rPr>
          <w:rFonts w:hint="eastAsia" w:ascii="仿宋_GB2312" w:hAnsi="仿宋_GB2312" w:eastAsia="仿宋_GB2312" w:cs="仿宋_GB2312"/>
          <w:color w:val="auto"/>
          <w:sz w:val="32"/>
          <w:szCs w:val="32"/>
          <w:highlight w:val="none"/>
          <w:u w:val="none" w:color="auto"/>
          <w:lang w:eastAsia="zh-CN"/>
        </w:rPr>
        <w:t>国家级</w:t>
      </w:r>
      <w:r>
        <w:rPr>
          <w:rFonts w:hint="eastAsia" w:ascii="仿宋_GB2312" w:hAnsi="仿宋_GB2312" w:eastAsia="仿宋_GB2312" w:cs="仿宋_GB2312"/>
          <w:color w:val="auto"/>
          <w:sz w:val="32"/>
          <w:szCs w:val="32"/>
          <w:highlight w:val="none"/>
          <w:u w:val="none" w:color="auto"/>
        </w:rPr>
        <w:t>风景名胜区</w:t>
      </w:r>
      <w:r>
        <w:rPr>
          <w:rFonts w:hint="eastAsia"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rPr>
        <w:t>个，面积</w:t>
      </w:r>
      <w:r>
        <w:rPr>
          <w:rFonts w:hint="eastAsia" w:ascii="仿宋_GB2312" w:hAnsi="仿宋_GB2312" w:eastAsia="仿宋_GB2312" w:cs="仿宋_GB2312"/>
          <w:color w:val="auto"/>
          <w:sz w:val="32"/>
          <w:szCs w:val="32"/>
          <w:highlight w:val="none"/>
          <w:u w:val="none" w:color="auto"/>
          <w:lang w:val="en-US" w:eastAsia="zh-CN"/>
        </w:rPr>
        <w:t>1.33</w:t>
      </w:r>
      <w:r>
        <w:rPr>
          <w:rFonts w:hint="eastAsia" w:ascii="仿宋_GB2312" w:hAnsi="仿宋_GB2312" w:eastAsia="仿宋_GB2312" w:cs="仿宋_GB2312"/>
          <w:color w:val="auto"/>
          <w:sz w:val="32"/>
          <w:szCs w:val="32"/>
          <w:highlight w:val="none"/>
          <w:u w:val="none" w:color="auto"/>
        </w:rPr>
        <w:t>万公顷。全市湿地总面积</w:t>
      </w:r>
      <w:r>
        <w:rPr>
          <w:rFonts w:hint="eastAsia" w:ascii="仿宋_GB2312" w:hAnsi="仿宋_GB2312" w:eastAsia="仿宋_GB2312" w:cs="仿宋_GB2312"/>
          <w:color w:val="auto"/>
          <w:sz w:val="32"/>
          <w:szCs w:val="32"/>
          <w:highlight w:val="none"/>
          <w:u w:val="none" w:color="auto"/>
          <w:lang w:val="en-US" w:eastAsia="zh-CN"/>
        </w:rPr>
        <w:t>1.41</w:t>
      </w:r>
      <w:r>
        <w:rPr>
          <w:rFonts w:hint="eastAsia" w:ascii="仿宋_GB2312" w:hAnsi="仿宋_GB2312" w:eastAsia="仿宋_GB2312" w:cs="仿宋_GB2312"/>
          <w:color w:val="auto"/>
          <w:sz w:val="32"/>
          <w:szCs w:val="32"/>
          <w:highlight w:val="none"/>
          <w:u w:val="none" w:color="auto"/>
        </w:rPr>
        <w:t>万公顷</w:t>
      </w:r>
      <w:r>
        <w:rPr>
          <w:rFonts w:hint="eastAsia" w:ascii="仿宋_GB2312" w:hAnsi="仿宋_GB2312" w:eastAsia="仿宋_GB2312" w:cs="仿宋_GB2312"/>
          <w:color w:val="auto"/>
          <w:sz w:val="32"/>
          <w:szCs w:val="32"/>
          <w:highlight w:val="none"/>
          <w:u w:val="none" w:color="auto"/>
          <w:lang w:eastAsia="zh-CN"/>
        </w:rPr>
        <w:t>（全口径湿地）</w:t>
      </w:r>
      <w:r>
        <w:rPr>
          <w:rFonts w:hint="eastAsia" w:ascii="仿宋_GB2312" w:hAnsi="仿宋_GB2312" w:eastAsia="仿宋_GB2312" w:cs="仿宋_GB2312"/>
          <w:color w:val="auto"/>
          <w:sz w:val="32"/>
          <w:szCs w:val="32"/>
          <w:highlight w:val="none"/>
          <w:u w:val="none" w:color="auto"/>
        </w:rPr>
        <w:t>，全市湿地面积占国土面积的比率(即湿地率)为</w:t>
      </w:r>
      <w:r>
        <w:rPr>
          <w:rFonts w:hint="eastAsia" w:ascii="仿宋_GB2312" w:hAnsi="仿宋_GB2312" w:eastAsia="仿宋_GB2312" w:cs="仿宋_GB2312"/>
          <w:color w:val="auto"/>
          <w:sz w:val="32"/>
          <w:szCs w:val="32"/>
          <w:highlight w:val="none"/>
          <w:u w:val="none" w:color="auto"/>
          <w:lang w:val="en-US" w:eastAsia="zh-CN"/>
        </w:rPr>
        <w:t>1.90</w:t>
      </w:r>
      <w:r>
        <w:rPr>
          <w:rFonts w:hint="eastAsia" w:ascii="仿宋_GB2312" w:hAnsi="仿宋_GB2312" w:eastAsia="仿宋_GB2312" w:cs="仿宋_GB2312"/>
          <w:color w:val="auto"/>
          <w:sz w:val="32"/>
          <w:szCs w:val="32"/>
          <w:highlight w:val="none"/>
          <w:u w:val="none" w:color="auto"/>
        </w:rPr>
        <w:t>%。建有国家级湿地公园</w:t>
      </w:r>
      <w:r>
        <w:rPr>
          <w:rFonts w:hint="eastAsia"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rPr>
        <w:t>处</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省级湿地公园试点单位</w:t>
      </w:r>
      <w:r>
        <w:rPr>
          <w:rFonts w:hint="eastAsia"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rPr>
        <w:t>处，</w:t>
      </w:r>
      <w:r>
        <w:rPr>
          <w:rFonts w:hint="eastAsia" w:ascii="仿宋_GB2312" w:hAnsi="仿宋_GB2312" w:eastAsia="仿宋_GB2312" w:cs="仿宋_GB2312"/>
          <w:color w:val="auto"/>
          <w:sz w:val="32"/>
          <w:szCs w:val="32"/>
          <w:highlight w:val="none"/>
          <w:u w:val="none" w:color="auto"/>
          <w:lang w:eastAsia="zh-CN"/>
        </w:rPr>
        <w:t>规划</w:t>
      </w:r>
      <w:r>
        <w:rPr>
          <w:rFonts w:hint="eastAsia" w:ascii="仿宋_GB2312" w:hAnsi="仿宋_GB2312" w:eastAsia="仿宋_GB2312" w:cs="仿宋_GB2312"/>
          <w:color w:val="auto"/>
          <w:sz w:val="32"/>
          <w:szCs w:val="32"/>
          <w:highlight w:val="none"/>
          <w:u w:val="none" w:color="auto"/>
        </w:rPr>
        <w:t>总面积</w:t>
      </w:r>
      <w:r>
        <w:rPr>
          <w:rFonts w:hint="eastAsia" w:ascii="仿宋_GB2312" w:hAnsi="仿宋_GB2312" w:eastAsia="仿宋_GB2312" w:cs="仿宋_GB2312"/>
          <w:color w:val="auto"/>
          <w:sz w:val="32"/>
          <w:szCs w:val="32"/>
          <w:highlight w:val="none"/>
          <w:u w:val="none" w:color="auto"/>
          <w:lang w:val="en-US" w:eastAsia="zh-CN"/>
        </w:rPr>
        <w:t>0.33</w:t>
      </w:r>
      <w:r>
        <w:rPr>
          <w:rFonts w:hint="eastAsia" w:ascii="仿宋_GB2312" w:hAnsi="仿宋_GB2312" w:eastAsia="仿宋_GB2312" w:cs="仿宋_GB2312"/>
          <w:color w:val="auto"/>
          <w:sz w:val="32"/>
          <w:szCs w:val="32"/>
          <w:highlight w:val="none"/>
          <w:u w:val="none" w:color="auto"/>
        </w:rPr>
        <w:t>万公顷。</w:t>
      </w:r>
    </w:p>
    <w:p>
      <w:pPr>
        <w:keepNext w:val="0"/>
        <w:keepLines w:val="0"/>
        <w:pageBreakBefore w:val="0"/>
        <w:widowControl w:val="0"/>
        <w:numPr>
          <w:ilvl w:val="0"/>
          <w:numId w:val="0"/>
        </w:numPr>
        <w:kinsoku/>
        <w:wordWrap/>
        <w:overflowPunct/>
        <w:topLinePunct w:val="0"/>
        <w:autoSpaceDE/>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highlight w:val="none"/>
          <w:u w:val="none" w:color="auto"/>
          <w:lang w:val="en-US" w:eastAsia="zh-CN"/>
        </w:rPr>
        <w:t xml:space="preserve">土地矿山治理  </w:t>
      </w:r>
      <w:r>
        <w:rPr>
          <w:rFonts w:hint="eastAsia" w:ascii="仿宋_GB2312" w:hAnsi="仿宋_GB2312" w:eastAsia="仿宋_GB2312" w:cs="仿宋_GB2312"/>
          <w:b/>
          <w:bCs/>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2023年，全市共完成水土流失防治面积50平方公里，矿山恢复治理面积0.061万亩。</w:t>
      </w:r>
    </w:p>
    <w:p>
      <w:pPr>
        <w:keepNext w:val="0"/>
        <w:keepLines w:val="0"/>
        <w:pageBreakBefore w:val="0"/>
        <w:widowControl w:val="0"/>
        <w:numPr>
          <w:ilvl w:val="0"/>
          <w:numId w:val="0"/>
        </w:numPr>
        <w:kinsoku/>
        <w:wordWrap/>
        <w:overflowPunct/>
        <w:topLinePunct w:val="0"/>
        <w:bidi w:val="0"/>
        <w:snapToGrid/>
        <w:spacing w:before="0" w:beforeLines="0" w:after="0" w:afterLines="0" w:line="600" w:lineRule="exact"/>
        <w:ind w:right="0" w:rightChars="0"/>
        <w:jc w:val="center"/>
        <w:outlineLvl w:val="9"/>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44"/>
          <w:szCs w:val="44"/>
          <w:highlight w:val="none"/>
        </w:rPr>
        <w:t>措施与行动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color w:val="auto"/>
          <w:sz w:val="32"/>
          <w:szCs w:val="32"/>
          <w:highlight w:val="none"/>
          <w:shd w:val="clear" w:color="auto" w:fill="FFFFFF"/>
          <w:lang w:val="en-US" w:eastAsia="zh-CN"/>
        </w:rPr>
      </w:pPr>
    </w:p>
    <w:p>
      <w:pPr>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highlight w:val="none"/>
          <w:shd w:val="clear" w:color="auto" w:fill="FFFFFF"/>
          <w:lang w:val="en-US" w:eastAsia="zh-CN"/>
        </w:rPr>
        <w:t xml:space="preserve">深入打好蓝天保卫战  </w:t>
      </w:r>
      <w:r>
        <w:rPr>
          <w:rStyle w:val="25"/>
          <w:rFonts w:hint="eastAsia" w:ascii="仿宋_GB2312" w:hAnsi="仿宋_GB2312" w:eastAsia="仿宋_GB2312" w:cs="仿宋_GB2312"/>
          <w:b w:val="0"/>
          <w:bCs w:val="0"/>
          <w:color w:val="auto"/>
          <w:sz w:val="32"/>
          <w:szCs w:val="32"/>
          <w:lang w:eastAsia="zh-CN"/>
        </w:rPr>
        <w:t>一是</w:t>
      </w:r>
      <w:r>
        <w:rPr>
          <w:rStyle w:val="25"/>
          <w:rFonts w:hint="eastAsia" w:ascii="仿宋_GB2312" w:hAnsi="仿宋_GB2312" w:eastAsia="仿宋_GB2312" w:cs="仿宋_GB2312"/>
          <w:b w:val="0"/>
          <w:bCs w:val="0"/>
          <w:color w:val="auto"/>
          <w:sz w:val="32"/>
          <w:szCs w:val="32"/>
        </w:rPr>
        <w:t>加快产业结构优化。</w:t>
      </w:r>
      <w:r>
        <w:rPr>
          <w:rFonts w:hint="eastAsia" w:ascii="仿宋_GB2312" w:hAnsi="仿宋_GB2312" w:eastAsia="仿宋_GB2312" w:cs="仿宋_GB2312"/>
          <w:color w:val="auto"/>
          <w:sz w:val="32"/>
          <w:szCs w:val="32"/>
        </w:rPr>
        <w:t>淘汰4家砖瓦窑企业7条生产线</w:t>
      </w:r>
      <w:r>
        <w:rPr>
          <w:rStyle w:val="25"/>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完成滑县半坡店镇仿古家具产业集群升级改造，拆除17家</w:t>
      </w:r>
      <w:r>
        <w:rPr>
          <w:rFonts w:hint="eastAsia" w:ascii="仿宋_GB2312" w:hAnsi="仿宋_GB2312" w:eastAsia="仿宋_GB2312" w:cs="仿宋_GB2312"/>
          <w:color w:val="auto"/>
          <w:sz w:val="32"/>
          <w:szCs w:val="32"/>
          <w:lang w:eastAsia="zh-CN"/>
        </w:rPr>
        <w:t>分散式</w:t>
      </w:r>
      <w:r>
        <w:rPr>
          <w:rFonts w:hint="eastAsia" w:ascii="仿宋_GB2312" w:hAnsi="仿宋_GB2312" w:eastAsia="仿宋_GB2312" w:cs="仿宋_GB2312"/>
          <w:color w:val="auto"/>
          <w:sz w:val="32"/>
          <w:szCs w:val="32"/>
        </w:rPr>
        <w:t>光氧+活性炭设施喷漆工序</w:t>
      </w:r>
      <w:r>
        <w:rPr>
          <w:rFonts w:hint="eastAsia" w:ascii="仿宋_GB2312" w:hAnsi="仿宋_GB2312" w:eastAsia="仿宋_GB2312" w:cs="仿宋_GB2312"/>
          <w:color w:val="auto"/>
          <w:sz w:val="32"/>
          <w:szCs w:val="32"/>
          <w:lang w:eastAsia="zh-CN"/>
        </w:rPr>
        <w:t>，改用集中喷涂中心并配备</w:t>
      </w:r>
      <w:r>
        <w:rPr>
          <w:rFonts w:hint="eastAsia" w:ascii="仿宋_GB2312" w:hAnsi="仿宋_GB2312" w:eastAsia="仿宋_GB2312" w:cs="仿宋_GB2312"/>
          <w:color w:val="auto"/>
          <w:sz w:val="32"/>
          <w:szCs w:val="32"/>
          <w:lang w:val="en-US" w:eastAsia="zh-CN"/>
        </w:rPr>
        <w:t>RTO</w:t>
      </w:r>
      <w:r>
        <w:rPr>
          <w:rFonts w:hint="eastAsia" w:ascii="仿宋_GB2312" w:hAnsi="仿宋_GB2312" w:eastAsia="仿宋_GB2312" w:cs="仿宋_GB2312"/>
          <w:color w:val="auto"/>
          <w:sz w:val="32"/>
          <w:szCs w:val="32"/>
          <w:lang w:eastAsia="zh-CN"/>
        </w:rPr>
        <w:t>高效治污设施；</w:t>
      </w:r>
      <w:r>
        <w:rPr>
          <w:rFonts w:hint="eastAsia" w:ascii="仿宋_GB2312" w:hAnsi="仿宋_GB2312" w:eastAsia="仿宋_GB2312" w:cs="仿宋_GB2312"/>
          <w:color w:val="auto"/>
          <w:sz w:val="32"/>
          <w:szCs w:val="32"/>
        </w:rPr>
        <w:t>加快钢铁行业整合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3家钢铁企业整合升级项目已通过省级“两高”项目会商联审</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1家钢铁企业整合项目已开工建设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持续开展“散乱污”企业动态清零</w:t>
      </w:r>
      <w:r>
        <w:rPr>
          <w:rFonts w:hint="eastAsia" w:ascii="仿宋_GB2312" w:hAnsi="仿宋_GB2312" w:eastAsia="仿宋_GB2312" w:cs="仿宋_GB2312"/>
          <w:color w:val="auto"/>
          <w:sz w:val="32"/>
          <w:szCs w:val="32"/>
          <w:lang w:eastAsia="zh-CN"/>
        </w:rPr>
        <w:t>。</w:t>
      </w:r>
      <w:r>
        <w:rPr>
          <w:rStyle w:val="25"/>
          <w:rFonts w:hint="eastAsia" w:ascii="仿宋_GB2312" w:hAnsi="仿宋_GB2312" w:eastAsia="仿宋_GB2312" w:cs="仿宋_GB2312"/>
          <w:b w:val="0"/>
          <w:bCs w:val="0"/>
          <w:color w:val="auto"/>
          <w:sz w:val="32"/>
          <w:szCs w:val="32"/>
          <w:lang w:eastAsia="zh-CN"/>
        </w:rPr>
        <w:t>二是</w:t>
      </w:r>
      <w:r>
        <w:rPr>
          <w:rStyle w:val="25"/>
          <w:rFonts w:hint="eastAsia" w:ascii="仿宋_GB2312" w:hAnsi="仿宋_GB2312" w:eastAsia="仿宋_GB2312" w:cs="仿宋_GB2312"/>
          <w:b w:val="0"/>
          <w:bCs w:val="0"/>
          <w:color w:val="auto"/>
          <w:sz w:val="32"/>
          <w:szCs w:val="32"/>
        </w:rPr>
        <w:t>加快能源结构调整。</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家重点用能单位完成节能降碳改造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实现节能量3.1万吨标准煤、减碳量7.3万吨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新增集中供热入网面积188.87万平方米，实际用热面积同比增加32.69万平方米；持续巩固</w:t>
      </w:r>
      <w:r>
        <w:rPr>
          <w:rFonts w:hint="eastAsia" w:ascii="仿宋_GB2312" w:hAnsi="仿宋_GB2312" w:eastAsia="仿宋_GB2312" w:cs="仿宋_GB2312"/>
          <w:color w:val="auto"/>
          <w:sz w:val="32"/>
          <w:szCs w:val="32"/>
          <w:lang w:eastAsia="zh-CN"/>
        </w:rPr>
        <w:t>清洁取暖“双替代”成效，发放电采暖消费券125万张，</w:t>
      </w:r>
      <w:r>
        <w:rPr>
          <w:rFonts w:hint="eastAsia" w:ascii="仿宋_GB2312" w:hAnsi="仿宋_GB2312" w:eastAsia="仿宋_GB2312" w:cs="仿宋_GB2312"/>
          <w:color w:val="auto"/>
          <w:sz w:val="32"/>
          <w:szCs w:val="32"/>
        </w:rPr>
        <w:t>查获散煤148吨，罚款6万余元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全市平原地区实现“散煤清零”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三是加快运输结构调整。滑县铁路专用线建成通车；安西联络线正在建设，铁路运量占比</w:t>
      </w:r>
      <w:r>
        <w:rPr>
          <w:rFonts w:hint="eastAsia" w:ascii="仿宋_GB2312" w:hAnsi="仿宋_GB2312" w:eastAsia="仿宋_GB2312" w:cs="仿宋_GB2312"/>
          <w:color w:val="auto"/>
          <w:sz w:val="32"/>
          <w:szCs w:val="32"/>
          <w:highlight w:val="none"/>
          <w:lang w:val="en-US" w:eastAsia="zh-CN"/>
        </w:rPr>
        <w:t>14.35%</w:t>
      </w:r>
      <w:r>
        <w:rPr>
          <w:rFonts w:hint="eastAsia" w:ascii="仿宋_GB2312" w:hAnsi="仿宋_GB2312" w:eastAsia="仿宋_GB2312" w:cs="仿宋_GB2312"/>
          <w:color w:val="auto"/>
          <w:sz w:val="32"/>
          <w:szCs w:val="32"/>
          <w:highlight w:val="none"/>
          <w:lang w:eastAsia="zh-CN"/>
        </w:rPr>
        <w:t>；新增11192辆电动民用汽车、</w:t>
      </w:r>
      <w:r>
        <w:rPr>
          <w:rFonts w:hint="eastAsia" w:ascii="仿宋_GB2312" w:hAnsi="仿宋_GB2312" w:eastAsia="仿宋_GB2312" w:cs="仿宋_GB2312"/>
          <w:color w:val="auto"/>
          <w:sz w:val="32"/>
          <w:szCs w:val="32"/>
          <w:highlight w:val="none"/>
          <w:lang w:val="en-US" w:eastAsia="zh-CN"/>
        </w:rPr>
        <w:t>419</w:t>
      </w:r>
      <w:r>
        <w:rPr>
          <w:rFonts w:hint="eastAsia" w:ascii="仿宋_GB2312" w:hAnsi="仿宋_GB2312" w:eastAsia="仿宋_GB2312" w:cs="仿宋_GB2312"/>
          <w:color w:val="auto"/>
          <w:sz w:val="32"/>
          <w:szCs w:val="32"/>
          <w:highlight w:val="none"/>
          <w:lang w:eastAsia="zh-CN"/>
        </w:rPr>
        <w:t>辆新能源货车；城区820辆公交车、1359辆出租车、769辆轻型物流运输车、206辆小型环卫保洁车全部实现新能源化；大宗物流运输企业新能源车辆通行1895297辆次，同比增加29%。</w:t>
      </w:r>
      <w:r>
        <w:rPr>
          <w:rStyle w:val="25"/>
          <w:rFonts w:hint="eastAsia" w:ascii="仿宋_GB2312" w:hAnsi="仿宋_GB2312" w:eastAsia="仿宋_GB2312" w:cs="仿宋_GB2312"/>
          <w:b w:val="0"/>
          <w:bCs w:val="0"/>
          <w:color w:val="auto"/>
          <w:sz w:val="32"/>
          <w:szCs w:val="32"/>
          <w:lang w:eastAsia="zh-CN"/>
        </w:rPr>
        <w:t>四是</w:t>
      </w:r>
      <w:r>
        <w:rPr>
          <w:rStyle w:val="25"/>
          <w:rFonts w:hint="eastAsia" w:ascii="仿宋_GB2312" w:hAnsi="仿宋_GB2312" w:eastAsia="仿宋_GB2312" w:cs="仿宋_GB2312"/>
          <w:b w:val="0"/>
          <w:bCs w:val="0"/>
          <w:color w:val="auto"/>
          <w:sz w:val="32"/>
          <w:szCs w:val="32"/>
        </w:rPr>
        <w:t>深化工业污染治理。</w:t>
      </w:r>
      <w:r>
        <w:rPr>
          <w:rFonts w:hint="eastAsia" w:ascii="仿宋_GB2312" w:hAnsi="仿宋_GB2312" w:eastAsia="仿宋_GB2312" w:cs="仿宋_GB2312"/>
          <w:color w:val="auto"/>
          <w:sz w:val="32"/>
          <w:szCs w:val="32"/>
          <w:lang w:val="en-US" w:eastAsia="zh-CN"/>
        </w:rPr>
        <w:t>97家工业企业完成</w:t>
      </w:r>
      <w:r>
        <w:rPr>
          <w:rFonts w:hint="eastAsia" w:ascii="仿宋_GB2312" w:hAnsi="仿宋_GB2312" w:eastAsia="仿宋_GB2312" w:cs="仿宋_GB2312"/>
          <w:color w:val="auto"/>
          <w:sz w:val="32"/>
          <w:szCs w:val="32"/>
        </w:rPr>
        <w:t>“一企一策”</w:t>
      </w:r>
      <w:r>
        <w:rPr>
          <w:rFonts w:hint="eastAsia" w:ascii="仿宋_GB2312" w:hAnsi="仿宋_GB2312" w:eastAsia="仿宋_GB2312" w:cs="仿宋_GB2312"/>
          <w:color w:val="auto"/>
          <w:sz w:val="32"/>
          <w:szCs w:val="32"/>
          <w:lang w:eastAsia="zh-CN"/>
        </w:rPr>
        <w:t>深度</w:t>
      </w:r>
      <w:r>
        <w:rPr>
          <w:rFonts w:hint="eastAsia" w:ascii="仿宋_GB2312" w:hAnsi="仿宋_GB2312" w:eastAsia="仿宋_GB2312" w:cs="仿宋_GB2312"/>
          <w:color w:val="auto"/>
          <w:sz w:val="32"/>
          <w:szCs w:val="32"/>
        </w:rPr>
        <w:t>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7家燃气锅炉企业完成低氮燃烧改造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268</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涉挥发性有机物</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rPr>
        <w:t>源头替代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化工、医药等</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rPr>
        <w:t>泄漏检测与修复(LDAR)</w:t>
      </w:r>
      <w:r>
        <w:rPr>
          <w:rFonts w:hint="eastAsia" w:ascii="仿宋_GB2312" w:hAnsi="仿宋_GB2312" w:eastAsia="仿宋_GB2312" w:cs="仿宋_GB2312"/>
          <w:color w:val="auto"/>
          <w:sz w:val="32"/>
          <w:szCs w:val="32"/>
          <w:highlight w:val="none"/>
          <w:lang w:eastAsia="zh-CN"/>
        </w:rPr>
        <w:t>。持续开展</w:t>
      </w:r>
      <w:r>
        <w:rPr>
          <w:rFonts w:hint="eastAsia" w:ascii="仿宋_GB2312" w:hAnsi="仿宋_GB2312" w:eastAsia="仿宋_GB2312" w:cs="仿宋_GB2312"/>
          <w:color w:val="auto"/>
          <w:sz w:val="32"/>
          <w:szCs w:val="32"/>
          <w:highlight w:val="none"/>
          <w:lang w:val="en-US" w:eastAsia="zh-CN"/>
        </w:rPr>
        <w:t>10个重点行业协商减排，在企业不停产、限产的基础上，通过加强精细化管理，实现日均排放量降低18%。</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lang w:val="en-US" w:eastAsia="zh-CN"/>
        </w:rPr>
        <w:t>22家重点工业企业创A晋B</w:t>
      </w:r>
      <w:r>
        <w:rPr>
          <w:rFonts w:hint="eastAsia" w:ascii="仿宋_GB2312" w:hAnsi="仿宋_GB2312" w:eastAsia="仿宋_GB2312" w:cs="仿宋_GB2312"/>
          <w:color w:val="auto"/>
          <w:sz w:val="32"/>
          <w:szCs w:val="32"/>
          <w:highlight w:val="none"/>
        </w:rPr>
        <w:t>。</w:t>
      </w:r>
      <w:r>
        <w:rPr>
          <w:rStyle w:val="25"/>
          <w:rFonts w:hint="eastAsia" w:ascii="仿宋_GB2312" w:hAnsi="仿宋_GB2312" w:eastAsia="仿宋_GB2312" w:cs="仿宋_GB2312"/>
          <w:b w:val="0"/>
          <w:bCs w:val="0"/>
          <w:color w:val="auto"/>
          <w:sz w:val="32"/>
          <w:szCs w:val="32"/>
          <w:lang w:eastAsia="zh-CN"/>
        </w:rPr>
        <w:t>五是</w:t>
      </w:r>
      <w:r>
        <w:rPr>
          <w:rStyle w:val="25"/>
          <w:rFonts w:hint="eastAsia" w:ascii="仿宋_GB2312" w:hAnsi="仿宋_GB2312" w:eastAsia="仿宋_GB2312" w:cs="仿宋_GB2312"/>
          <w:b w:val="0"/>
          <w:bCs w:val="0"/>
          <w:color w:val="auto"/>
          <w:sz w:val="32"/>
          <w:szCs w:val="32"/>
        </w:rPr>
        <w:t>狠抓面源污染治理。</w:t>
      </w:r>
      <w:r>
        <w:rPr>
          <w:rFonts w:hint="eastAsia" w:ascii="仿宋_GB2312" w:hAnsi="仿宋_GB2312" w:eastAsia="仿宋_GB2312" w:cs="仿宋_GB2312"/>
          <w:color w:val="auto"/>
          <w:sz w:val="32"/>
          <w:szCs w:val="32"/>
        </w:rPr>
        <w:t>开展施工、道路扬尘污染专项整治和城市清洁行动，</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重点区域机械化清扫和道路积尘走航监测，建成区内全部消除四级道路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个露天矿山综合整治项目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1个农作物秸秆综合利用项目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持续强化禁燃禁放</w:t>
      </w:r>
      <w:r>
        <w:rPr>
          <w:rFonts w:hint="eastAsia" w:ascii="仿宋_GB2312" w:hAnsi="仿宋_GB2312" w:eastAsia="仿宋_GB2312" w:cs="仿宋_GB2312"/>
          <w:color w:val="auto"/>
          <w:sz w:val="32"/>
          <w:szCs w:val="32"/>
          <w:lang w:eastAsia="zh-CN"/>
        </w:rPr>
        <w:t>和餐饮油烟治理。六是强化移动源污染防治。</w:t>
      </w:r>
      <w:r>
        <w:rPr>
          <w:rFonts w:hint="eastAsia" w:ascii="仿宋_GB2312" w:hAnsi="仿宋_GB2312" w:eastAsia="仿宋_GB2312" w:cs="仿宋_GB2312"/>
          <w:color w:val="auto"/>
          <w:sz w:val="32"/>
          <w:szCs w:val="32"/>
          <w:lang w:val="en-US" w:eastAsia="zh-CN"/>
        </w:rPr>
        <w:t>开展路检路查和入户检测，查处超标货车90辆。</w:t>
      </w:r>
      <w:r>
        <w:rPr>
          <w:rFonts w:hint="eastAsia" w:ascii="仿宋_GB2312" w:hAnsi="仿宋_GB2312" w:eastAsia="仿宋_GB2312" w:cs="仿宋_GB2312"/>
          <w:color w:val="auto"/>
          <w:sz w:val="32"/>
          <w:szCs w:val="32"/>
        </w:rPr>
        <w:t>开展柴油货车违法运输源头治理集中行动，</w:t>
      </w:r>
      <w:r>
        <w:rPr>
          <w:rFonts w:hint="eastAsia" w:ascii="仿宋_GB2312" w:hAnsi="仿宋_GB2312" w:eastAsia="仿宋_GB2312" w:cs="仿宋_GB2312"/>
          <w:color w:val="auto"/>
          <w:sz w:val="32"/>
          <w:szCs w:val="32"/>
          <w:lang w:val="en-US" w:eastAsia="zh-CN"/>
        </w:rPr>
        <w:t>查处各类违法违规问题行为1629个。完成非道路移动机械信息登记1257台，严格执行《关于调整禁止使用高排放非道路移动机械区域的通告》，查处违法违规使用非道路移动机械问题373台次。</w:t>
      </w:r>
      <w:r>
        <w:rPr>
          <w:rFonts w:hint="eastAsia" w:ascii="仿宋_GB2312" w:hAnsi="仿宋_GB2312" w:eastAsia="仿宋_GB2312" w:cs="仿宋_GB2312"/>
          <w:color w:val="auto"/>
          <w:sz w:val="32"/>
          <w:szCs w:val="32"/>
        </w:rPr>
        <w:t>加强学校、重点路段、商圈周边道路等55个点位周边拥堵疏导，有效减少汽车尾气排放。完成270家加油站、31辆油罐车监督性抽测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取缔黑加油</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点10个，查扣流动黑加油车15辆，罚没非法油品32.94吨。</w:t>
      </w:r>
      <w:r>
        <w:rPr>
          <w:rFonts w:hint="eastAsia" w:ascii="仿宋_GB2312" w:hAnsi="仿宋_GB2312" w:eastAsia="仿宋_GB2312" w:cs="仿宋_GB2312"/>
          <w:color w:val="auto"/>
          <w:sz w:val="32"/>
          <w:szCs w:val="32"/>
          <w:lang w:val="en-US" w:eastAsia="zh-CN"/>
        </w:rPr>
        <w:t>推进用车大户门禁系统建设，对19家大宗物料运输企业安装门禁系统。</w:t>
      </w:r>
      <w:r>
        <w:rPr>
          <w:rFonts w:hint="eastAsia" w:ascii="仿宋_GB2312" w:hAnsi="仿宋_GB2312" w:eastAsia="仿宋_GB2312" w:cs="仿宋_GB2312"/>
          <w:color w:val="auto"/>
          <w:sz w:val="32"/>
          <w:szCs w:val="32"/>
          <w:lang w:eastAsia="zh-CN"/>
        </w:rPr>
        <w:t>七是提升重污染天气应急管控能力。</w:t>
      </w:r>
      <w:r>
        <w:rPr>
          <w:rFonts w:hint="eastAsia" w:ascii="仿宋_GB2312" w:hAnsi="仿宋_GB2312" w:eastAsia="仿宋_GB2312" w:cs="仿宋_GB2312"/>
          <w:color w:val="auto"/>
          <w:sz w:val="32"/>
          <w:szCs w:val="32"/>
        </w:rPr>
        <w:t>修订完善《安阳市重污染天气应急预案》</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3936家企业纳入应急减排清单，实施差异化管控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每日</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空气质量研判分析，及时启动</w:t>
      </w:r>
      <w:r>
        <w:rPr>
          <w:rFonts w:hint="eastAsia" w:ascii="仿宋_GB2312" w:hAnsi="仿宋_GB2312" w:eastAsia="仿宋_GB2312" w:cs="仿宋_GB2312"/>
          <w:color w:val="auto"/>
          <w:sz w:val="32"/>
          <w:szCs w:val="32"/>
          <w:lang w:eastAsia="zh-CN"/>
        </w:rPr>
        <w:t>并刚性落实</w:t>
      </w:r>
      <w:r>
        <w:rPr>
          <w:rFonts w:hint="eastAsia" w:ascii="仿宋_GB2312" w:hAnsi="仿宋_GB2312" w:eastAsia="仿宋_GB2312" w:cs="仿宋_GB2312"/>
          <w:color w:val="auto"/>
          <w:sz w:val="32"/>
          <w:szCs w:val="32"/>
        </w:rPr>
        <w:t>重污染天气</w:t>
      </w:r>
      <w:r>
        <w:rPr>
          <w:rFonts w:hint="eastAsia" w:ascii="仿宋_GB2312" w:hAnsi="仿宋_GB2312" w:eastAsia="仿宋_GB2312" w:cs="仿宋_GB2312"/>
          <w:color w:val="auto"/>
          <w:sz w:val="32"/>
          <w:szCs w:val="32"/>
          <w:lang w:eastAsia="zh-CN"/>
        </w:rPr>
        <w:t>预警措施。</w:t>
      </w:r>
      <w:r>
        <w:rPr>
          <w:rFonts w:hint="eastAsia" w:ascii="仿宋_GB2312" w:hAnsi="仿宋_GB2312" w:eastAsia="仿宋_GB2312" w:cs="仿宋_GB2312"/>
          <w:color w:val="auto"/>
          <w:sz w:val="32"/>
          <w:szCs w:val="32"/>
        </w:rPr>
        <w:t>八是强化基础能力建设提升。优化完善环境空气质量监测网络，41个乡镇站完成升级改造和联网运行。</w:t>
      </w:r>
      <w:r>
        <w:rPr>
          <w:rFonts w:hint="eastAsia" w:ascii="仿宋_GB2312" w:hAnsi="仿宋_GB2312" w:eastAsia="仿宋_GB2312" w:cs="仿宋_GB2312"/>
          <w:color w:val="auto"/>
          <w:sz w:val="32"/>
          <w:szCs w:val="32"/>
          <w:lang w:eastAsia="zh-CN"/>
        </w:rPr>
        <w:t>试点安装</w:t>
      </w:r>
      <w:r>
        <w:rPr>
          <w:rFonts w:hint="eastAsia" w:ascii="仿宋_GB2312" w:hAnsi="仿宋_GB2312" w:eastAsia="仿宋_GB2312" w:cs="仿宋_GB2312"/>
          <w:color w:val="auto"/>
          <w:sz w:val="32"/>
          <w:szCs w:val="32"/>
          <w:lang w:val="en-US" w:eastAsia="zh-CN"/>
        </w:rPr>
        <w:t>59套</w:t>
      </w:r>
      <w:r>
        <w:rPr>
          <w:rFonts w:hint="eastAsia" w:ascii="仿宋_GB2312" w:hAnsi="仿宋_GB2312" w:eastAsia="仿宋_GB2312" w:cs="仿宋_GB2312"/>
          <w:color w:val="auto"/>
          <w:sz w:val="32"/>
          <w:szCs w:val="32"/>
          <w:lang w:eastAsia="zh-CN"/>
        </w:rPr>
        <w:t>在线质控，开展在线监控数据打假专项行动，提高数据打假精准度。</w:t>
      </w:r>
    </w:p>
    <w:p>
      <w:pPr>
        <w:ind w:firstLine="642" w:firstLineChars="200"/>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sz w:val="32"/>
          <w:szCs w:val="32"/>
          <w:lang w:val="en-US" w:eastAsia="zh-CN"/>
        </w:rPr>
        <w:t>深入打好</w:t>
      </w:r>
      <w:r>
        <w:rPr>
          <w:rFonts w:hint="eastAsia" w:ascii="仿宋_GB2312" w:hAnsi="仿宋_GB2312" w:eastAsia="仿宋_GB2312" w:cs="仿宋_GB2312"/>
          <w:b/>
          <w:bCs/>
          <w:color w:val="auto"/>
          <w:sz w:val="32"/>
          <w:szCs w:val="32"/>
        </w:rPr>
        <w:t>碧水</w:t>
      </w:r>
      <w:r>
        <w:rPr>
          <w:rFonts w:hint="eastAsia" w:ascii="仿宋_GB2312" w:hAnsi="仿宋_GB2312" w:eastAsia="仿宋_GB2312" w:cs="仿宋_GB2312"/>
          <w:b/>
          <w:bCs/>
          <w:color w:val="auto"/>
          <w:sz w:val="32"/>
          <w:szCs w:val="32"/>
          <w:lang w:val="en-US" w:eastAsia="zh-CN"/>
        </w:rPr>
        <w:t>保卫</w:t>
      </w:r>
      <w:r>
        <w:rPr>
          <w:rFonts w:hint="eastAsia" w:ascii="仿宋_GB2312" w:hAnsi="仿宋_GB2312" w:eastAsia="仿宋_GB2312" w:cs="仿宋_GB2312"/>
          <w:b/>
          <w:bCs/>
          <w:color w:val="auto"/>
          <w:sz w:val="32"/>
          <w:szCs w:val="32"/>
        </w:rPr>
        <w:t>战</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一是持续改善地表水环境质量。建立月排名、月研判、季通报、年考核、跟踪督办等工作机制，有效推进年度水攻坚各项工作任务落实。2023年，我市水环境质量改善幅度在全国排名第12位；地表水环境质量在全省排名第3位，国、省控断面Ⅲ类以上“好水”比例达到100%，再创安阳有监测记录以来历史最好水平。二是开展入河排污口排查整治。印发了《安阳市加强入河排污口监督管理实施方案》，组织各县（市、区）利用无人机、徒步等形式开展全方位、地毯式排查，共排查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1327</w:t>
      </w:r>
      <w:r>
        <w:rPr>
          <w:rFonts w:hint="eastAsia" w:ascii="仿宋_GB2312" w:hAnsi="仿宋_GB2312" w:eastAsia="仿宋_GB2312" w:cs="仿宋_GB2312"/>
          <w:color w:val="auto"/>
          <w:sz w:val="32"/>
          <w:szCs w:val="32"/>
          <w:lang w:val="en-US" w:eastAsia="zh-CN"/>
        </w:rPr>
        <w:t>个排放口，整治完成率为76%，超额完成省定目标任务。三是强化集中式饮用水水源地保护。完成水源地环境状况调查评估工作，全市8个县级以上集中式饮用水水源地环境状况综合评分为满分；对全市饮用水水源地环境问题开展排查整治，保障饮</w:t>
      </w:r>
      <w:r>
        <w:rPr>
          <w:rFonts w:hint="eastAsia" w:ascii="仿宋_GB2312" w:hAnsi="仿宋_GB2312" w:eastAsia="仿宋_GB2312" w:cs="仿宋_GB2312"/>
          <w:color w:val="auto"/>
          <w:kern w:val="2"/>
          <w:sz w:val="32"/>
          <w:szCs w:val="32"/>
          <w:highlight w:val="none"/>
          <w:u w:val="none" w:color="auto"/>
          <w:lang w:val="en-US" w:eastAsia="zh-CN" w:bidi="ar-SA"/>
        </w:rPr>
        <w:t>水安全；组织开展南水北调干渠保护区生态环境保护专项行动，率先在全省开展南水北调突发水环境污染事件应急演练，确保“一渠清水永续北送”。</w:t>
      </w:r>
      <w:r>
        <w:rPr>
          <w:rFonts w:hint="eastAsia" w:ascii="仿宋_GB2312" w:hAnsi="仿宋_GB2312" w:eastAsia="仿宋_GB2312" w:cs="仿宋_GB2312"/>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持续</w:t>
      </w:r>
      <w:r>
        <w:rPr>
          <w:rFonts w:hint="eastAsia" w:ascii="仿宋_GB2312" w:hAnsi="仿宋_GB2312" w:eastAsia="仿宋_GB2312" w:cs="仿宋_GB2312"/>
          <w:color w:val="auto"/>
          <w:kern w:val="2"/>
          <w:sz w:val="32"/>
          <w:szCs w:val="32"/>
          <w:highlight w:val="none"/>
          <w:u w:val="none" w:color="auto"/>
          <w:lang w:val="en-US" w:eastAsia="zh-CN" w:bidi="ar-SA"/>
        </w:rPr>
        <w:t>做好黑臭水体治理。巩固提升城市建成区黑臭水体治理成效，严格落实“四级网格化”日常管理和河长长效监管机制，定期开展城市黑臭水体巡查抽查，发现一处、整治一处，实施城市黑臭水体动态清零，定期开展整治后水体水质监测，基本实现长制久清。五是持续抓好黄河流域水生态保护。滑县和长垣市、濮阳县政府签订黄河流域金堤河、黄庄河横向生态保护补偿协议。六是积极推进美丽河湖创建。2023年，安阳河（城区段）被评为省级美丽河湖优秀案例。截止2023年底，安阳市共创建美丽河湖5处，数量居全省第一。七是统筹推进水污染防治工作。组织开展了全市水环境暨污水违法违规排放大排查大整治专项行动。对全市涉水工业企业、污水处理厂、黑臭水体等10个方面工作存在的隐患开展地毯式排查，强化水环境监管，严厉打击各类水环境违法排污行为。查处涉水违法案件18起，其中移送公安机关行政拘留案件1起、移送涉嫌环境污染犯罪案件1起；联合市卫健委确定了二级以下医疗机构名录，督促相关医疗机构开展污水处理设施问题自查；全面加强水环境风险防控，认真做好汛期、枯水期水环境安全保障工作，确保全市水环境安全。</w:t>
      </w:r>
    </w:p>
    <w:p>
      <w:pPr>
        <w:pStyle w:val="3"/>
        <w:ind w:left="0" w:firstLine="648" w:firstLineChars="202"/>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深入打好净土保卫战 </w:t>
      </w:r>
      <w:r>
        <w:rPr>
          <w:rFonts w:hint="eastAsia" w:ascii="仿宋_GB2312" w:hAnsi="仿宋_GB2312" w:eastAsia="仿宋_GB2312" w:cs="仿宋_GB2312"/>
          <w:color w:val="auto"/>
          <w:kern w:val="2"/>
          <w:sz w:val="32"/>
          <w:szCs w:val="32"/>
          <w:highlight w:val="none"/>
          <w:u w:val="none" w:color="auto"/>
          <w:lang w:val="en-US" w:eastAsia="zh-CN" w:bidi="ar-SA"/>
        </w:rPr>
        <w:t>一是深入推进农用地土壤镉等重金属污染源头防治行动。建立涉镉等重金属全口径清单，全面实施安阳市典型区域受污染耕地土壤重金属污染成因排查项目。二是推动重点监管单位规范化监管。23家重点监管单位全部依法纳入排污许可管理，新纳入的6家重点监管单位完成了土壤污染隐患排查、实施了土壤和地下水自行监测。对焦化、有色金属冶炼等行业9家土壤重点监管单位完成隐患排查“回头看”。三是依法推进农用地分类管理。完成受污染耕地安全利用任务，进一步完善耕地土壤污染防治工作机制，有效降低农产品污染风险，实现耕地土壤环境质量稳中向好，土壤环境安全得到有效保障。四是保障重点建设用地安全利用。健全管理机制，市生态环境局和市自然资源和规划局联合印发了《关于规范重点建设用地土壤污染状况调查的通知》，进一步明确了用途变更为“一住两公”纳入详细规划和供地管理的地块应在供地（土地划拨、出让）前落实土壤污染风险管控和修复措施，全年完成145个重点建设用地地块土壤污染状况调查，根据调查结果，确定2个污染地块。五是推进污染地块开展风险管控和治理修复。实施滑县原九间房化工厂遗留铬渣污染地块风险管控和修复。完成林州华诚化工和太行蓄电池厂疑似污染地块土壤污染状况调查，依法纳入污染地块管理，全市6个污染地块全部落实风险管控措施，保障土壤环境安全。</w:t>
      </w:r>
    </w:p>
    <w:p>
      <w:pPr>
        <w:keepNext w:val="0"/>
        <w:keepLines w:val="0"/>
        <w:pageBreakBefore w:val="0"/>
        <w:widowControl w:val="0"/>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强化噪声污染监管</w:t>
      </w:r>
      <w:r>
        <w:rPr>
          <w:rFonts w:hint="eastAsia" w:ascii="仿宋_GB2312" w:hAnsi="仿宋_GB2312" w:eastAsia="仿宋_GB2312" w:cs="仿宋_GB2312"/>
          <w:color w:val="auto"/>
          <w:kern w:val="2"/>
          <w:sz w:val="32"/>
          <w:szCs w:val="32"/>
          <w:highlight w:val="none"/>
          <w:lang w:val="en-US" w:eastAsia="zh-CN" w:bidi="ar-SA"/>
        </w:rPr>
        <w:t xml:space="preserve">  编制印发《安阳市噪声污染防治行动计划（2023—2025年）》、《安阳市噪声污染防治联席会议制度》、《中华人民共和国噪声污染防治法部分条款部门职责清单》，明确责任分工，建立任务清单，形成噪声污染防治合力。持续开展高考、中考噪声污染防治工作，护航高考、中考。</w:t>
      </w:r>
    </w:p>
    <w:p>
      <w:pPr>
        <w:keepNext w:val="0"/>
        <w:keepLines w:val="0"/>
        <w:pageBreakBefore w:val="0"/>
        <w:widowControl w:val="0"/>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kern w:val="2"/>
          <w:sz w:val="32"/>
          <w:szCs w:val="32"/>
          <w:highlight w:val="none"/>
          <w:shd w:val="clear" w:color="auto" w:fill="FFFFFF"/>
          <w:lang w:val="en-US" w:eastAsia="zh-CN" w:bidi="ar-SA"/>
        </w:rPr>
        <w:t>抓好督察任务整改</w:t>
      </w:r>
      <w:r>
        <w:rPr>
          <w:rFonts w:hint="eastAsia" w:ascii="仿宋_GB2312" w:hAnsi="仿宋_GB2312" w:eastAsia="仿宋_GB2312" w:cs="仿宋_GB2312"/>
          <w:b w:val="0"/>
          <w:bCs/>
          <w:color w:val="auto"/>
          <w:kern w:val="2"/>
          <w:sz w:val="32"/>
          <w:szCs w:val="32"/>
          <w:highlight w:val="none"/>
          <w:shd w:val="clear" w:color="auto" w:fill="FFFFFF"/>
          <w:lang w:val="en-US" w:eastAsia="zh-CN" w:bidi="ar-SA"/>
        </w:rPr>
        <w:t xml:space="preserve">  </w:t>
      </w:r>
      <w:r>
        <w:rPr>
          <w:rFonts w:hint="eastAsia" w:ascii="仿宋_GB2312" w:hAnsi="仿宋_GB2312" w:eastAsia="仿宋_GB2312" w:cs="仿宋_GB2312"/>
          <w:b w:val="0"/>
          <w:bCs w:val="0"/>
          <w:color w:val="auto"/>
          <w:sz w:val="32"/>
          <w:szCs w:val="32"/>
          <w:lang w:val="en-US" w:eastAsia="zh-CN"/>
        </w:rPr>
        <w:t>2023年共承办中央、省委生态环境保护督察整改任务108项，已完成80项，28项整改任务正在整改中；交办群众举报件99件，</w:t>
      </w:r>
      <w:r>
        <w:rPr>
          <w:rFonts w:hint="eastAsia" w:ascii="仿宋_GB2312" w:hAnsi="仿宋_GB2312" w:eastAsia="仿宋_GB2312" w:cs="仿宋_GB2312"/>
          <w:color w:val="auto"/>
          <w:sz w:val="32"/>
          <w:szCs w:val="32"/>
          <w:lang w:val="en-US" w:eastAsia="zh-CN"/>
        </w:rPr>
        <w:t>已办结73起，26起阶段办结群众举报件正在按照时间节点有序推进。</w:t>
      </w:r>
    </w:p>
    <w:p>
      <w:pPr>
        <w:pStyle w:val="2"/>
        <w:keepNext w:val="0"/>
        <w:keepLines w:val="0"/>
        <w:pageBreakBefore w:val="0"/>
        <w:widowControl w:val="0"/>
        <w:kinsoku/>
        <w:wordWrap/>
        <w:overflowPunct/>
        <w:topLinePunct w:val="0"/>
        <w:bidi w:val="0"/>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rPr>
        <w:t>加强自然生态保护</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Cs/>
          <w:color w:val="auto"/>
          <w:kern w:val="2"/>
          <w:sz w:val="32"/>
          <w:szCs w:val="32"/>
          <w:lang w:val="en-US" w:eastAsia="zh-CN" w:bidi="ar-SA"/>
        </w:rPr>
        <w:t>组织开展安阳市“绿盾2023”自然保护地强化监督工作，对自然保护地内卫星遥感监测发现的重点问题线索逐一核实整改。推进生态文明示范创建工作，全市新命名市级生态村30个。</w:t>
      </w:r>
    </w:p>
    <w:p>
      <w:pPr>
        <w:keepNext w:val="0"/>
        <w:keepLines w:val="0"/>
        <w:pageBreakBefore w:val="0"/>
        <w:widowControl w:val="0"/>
        <w:numPr>
          <w:ilvl w:val="0"/>
          <w:numId w:val="0"/>
        </w:numPr>
        <w:kinsoku/>
        <w:wordWrap/>
        <w:overflowPunct/>
        <w:topLinePunct w:val="0"/>
        <w:bidi w:val="0"/>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highlight w:val="none"/>
          <w:lang w:val="en-US" w:eastAsia="zh-CN"/>
        </w:rPr>
        <w:t>优化环评与排污许可管理</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Cs/>
          <w:color w:val="auto"/>
          <w:kern w:val="2"/>
          <w:sz w:val="32"/>
          <w:szCs w:val="32"/>
          <w:lang w:val="en-US" w:eastAsia="zh-CN" w:bidi="ar-SA"/>
        </w:rPr>
        <w:t>2023年，受理、审批生态环境行政许可255件，完成4个园区规划环境影响评价报告书的审查，推进295个省、市重点项目联审联批。全市排污许可证管理企业1268家，登记13555家，发证、登记完成率100%。</w:t>
      </w:r>
    </w:p>
    <w:p>
      <w:pPr>
        <w:keepNext w:val="0"/>
        <w:keepLines w:val="0"/>
        <w:pageBreakBefore w:val="0"/>
        <w:widowControl w:val="0"/>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 xml:space="preserve">严格环境执法监管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Cs/>
          <w:color w:val="auto"/>
          <w:kern w:val="2"/>
          <w:sz w:val="32"/>
          <w:szCs w:val="32"/>
          <w:lang w:val="en-US" w:eastAsia="zh-CN" w:bidi="ar-SA"/>
        </w:rPr>
        <w:t>组织开展了秋冬季空气质量联防联控专项检查、工业企业无组织排放专项执法检查、第三方环保服务机构弄虚作假问题专项整治行动、夏季挥发性有机物（VOCs）行业监督帮扶专项行动、水环境暨污水违法违规排放大排查大整治专项行动等18项专项执法行动，严格落实污染源日常监管“双随机一公开”制度，实施生态环境执法“正面清单”制度，积极推行“执法+监测+监控”机制，进一步探索非现场执法模式。全年下达行政处罚决定361起、罚款1802.38万元；查封扣押8起，限制生产2起，移送拘留5起，涉嫌犯罪移送8起。</w:t>
      </w:r>
    </w:p>
    <w:p>
      <w:pPr>
        <w:pStyle w:val="5"/>
        <w:keepNext w:val="0"/>
        <w:keepLines w:val="0"/>
        <w:pageBreakBefore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加强固体废物污染防治  </w:t>
      </w:r>
      <w:r>
        <w:rPr>
          <w:rFonts w:hint="eastAsia" w:ascii="仿宋_GB2312" w:hAnsi="仿宋_GB2312" w:eastAsia="仿宋_GB2312" w:cs="仿宋_GB2312"/>
          <w:color w:val="auto"/>
          <w:kern w:val="0"/>
          <w:sz w:val="32"/>
          <w:szCs w:val="32"/>
          <w:highlight w:val="none"/>
          <w:lang w:val="en-US" w:eastAsia="zh-CN" w:bidi="ar-SA"/>
        </w:rPr>
        <w:t>开展年度危险废物规范化环境管理评估和环境风险隐患排查整治工作；完成284家企业化学物质环境信息统计数据填报及审核工作；参与市场监督管理局、市公安局举办的“3·15”假冒伪劣商品集中无害化销毁活动；开展废铅蓄电池收集试点和小量危险废物集中收集试点工作；完成固体废物年报申报和固废污染环境防治信息公报编制工作；</w:t>
      </w:r>
      <w:r>
        <w:rPr>
          <w:rFonts w:hint="eastAsia" w:ascii="仿宋_GB2312" w:hAnsi="仿宋_GB2312" w:eastAsia="仿宋_GB2312" w:cs="仿宋_GB2312"/>
          <w:color w:val="auto"/>
          <w:kern w:val="0"/>
          <w:sz w:val="32"/>
          <w:szCs w:val="32"/>
          <w:highlight w:val="none"/>
          <w:u w:val="none"/>
          <w:lang w:val="en-US" w:eastAsia="zh-CN" w:bidi="ar-SA"/>
        </w:rPr>
        <w:t>积极推进固体废物污染防治信息化建设，2023年省内办结联单15398条，跨省办结联单4466条。</w:t>
      </w:r>
    </w:p>
    <w:p>
      <w:pPr>
        <w:keepNext w:val="0"/>
        <w:keepLines w:val="0"/>
        <w:pageBreakBefore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严格核与辐射安全监管  </w:t>
      </w:r>
      <w:r>
        <w:rPr>
          <w:rFonts w:hint="eastAsia" w:ascii="仿宋_GB2312" w:hAnsi="仿宋_GB2312" w:eastAsia="仿宋_GB2312" w:cs="仿宋_GB2312"/>
          <w:color w:val="auto"/>
          <w:kern w:val="2"/>
          <w:sz w:val="32"/>
          <w:szCs w:val="32"/>
          <w:lang w:val="en-US" w:eastAsia="zh-CN" w:bidi="ar-SA"/>
        </w:rPr>
        <w:t>2023年完成辐射类环评批复18件，办理辐射安全许可事项106件，确保核技术利用单位纳入辐射安全监督管理；更新完善《国家核技术利用辐射安全监管系统》，完成319家辐射工作单位2023年放射性同位素与射线装置安全和防护状况年度评估报告上传工作；完成全市辐射安全监督检查和隐患排查工作；组织开展“4·15”全民国家安全教育日核安全宣传活动；开展辐射环境应急监测“大练兵大比武”活动，提升全市辐射监测能力；安全送贮2023年废弃放射源，确保送贮率100%；组织指导辐射工作人员完成辐射安全考核，确保全员持证上岗。</w:t>
      </w:r>
    </w:p>
    <w:p>
      <w:pPr>
        <w:keepNext w:val="0"/>
        <w:keepLines w:val="0"/>
        <w:pageBreakBefore w:val="0"/>
        <w:widowControl w:val="0"/>
        <w:kinsoku/>
        <w:wordWrap/>
        <w:overflowPunct/>
        <w:topLinePunct w:val="0"/>
        <w:bidi w:val="0"/>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加强环境应急管理  </w:t>
      </w:r>
      <w:r>
        <w:rPr>
          <w:rFonts w:hint="eastAsia" w:ascii="仿宋_GB2312" w:hAnsi="仿宋_GB2312" w:eastAsia="仿宋_GB2312" w:cs="仿宋_GB2312"/>
          <w:b w:val="0"/>
          <w:bCs w:val="0"/>
          <w:color w:val="auto"/>
          <w:sz w:val="32"/>
          <w:szCs w:val="32"/>
          <w:lang w:val="en-US" w:eastAsia="zh-CN"/>
        </w:rPr>
        <w:t>全面开展全市突发环境事件风险隐患排查整治工作，共排查整改问题369个。组织开展</w:t>
      </w:r>
      <w:r>
        <w:rPr>
          <w:rFonts w:hint="eastAsia" w:ascii="仿宋_GB2312" w:hAnsi="仿宋_GB2312" w:eastAsia="仿宋_GB2312" w:cs="仿宋_GB2312"/>
          <w:b w:val="0"/>
          <w:bCs/>
          <w:strike w:val="0"/>
          <w:dstrike w:val="0"/>
          <w:color w:val="auto"/>
          <w:sz w:val="32"/>
          <w:szCs w:val="32"/>
          <w:u w:val="none"/>
          <w:lang w:val="en-US" w:eastAsia="zh-CN"/>
        </w:rPr>
        <w:t>南水北调中线工程（安阳段）突发水环境污染事件应急演练</w:t>
      </w:r>
      <w:r>
        <w:rPr>
          <w:rFonts w:hint="eastAsia" w:ascii="仿宋_GB2312" w:hAnsi="仿宋_GB2312" w:eastAsia="仿宋_GB2312" w:cs="仿宋_GB2312"/>
          <w:b w:val="0"/>
          <w:bCs w:val="0"/>
          <w:color w:val="auto"/>
          <w:sz w:val="32"/>
          <w:szCs w:val="32"/>
          <w:lang w:val="en-US" w:eastAsia="zh-CN"/>
        </w:rPr>
        <w:t>等15次突发环境事件应急演练。</w:t>
      </w:r>
      <w:r>
        <w:rPr>
          <w:rFonts w:hint="eastAsia" w:ascii="仿宋_GB2312" w:hAnsi="仿宋_GB2312" w:eastAsia="仿宋_GB2312" w:cs="仿宋_GB2312"/>
          <w:b w:val="0"/>
          <w:bCs w:val="0"/>
          <w:color w:val="auto"/>
          <w:kern w:val="0"/>
          <w:sz w:val="32"/>
          <w:szCs w:val="32"/>
          <w:lang w:val="en-US" w:eastAsia="zh-CN" w:bidi="ar"/>
        </w:rPr>
        <w:t>完成安阳河、汤永河系“一河一策一图”应急处置方案编制。</w:t>
      </w:r>
      <w:r>
        <w:rPr>
          <w:rFonts w:hint="eastAsia" w:ascii="仿宋_GB2312" w:hAnsi="仿宋_GB2312" w:eastAsia="仿宋_GB2312" w:cs="仿宋_GB2312"/>
          <w:b w:val="0"/>
          <w:bCs w:val="0"/>
          <w:color w:val="auto"/>
          <w:sz w:val="32"/>
          <w:szCs w:val="32"/>
          <w:lang w:val="en-US" w:eastAsia="zh-CN"/>
        </w:rPr>
        <w:t>2023年全市未发生较大以上突发环境事件。</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suppressLineNumbers w:val="0"/>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rPr>
        <w:t xml:space="preserve">强化环境监测支撑 </w:t>
      </w:r>
      <w:r>
        <w:rPr>
          <w:rFonts w:hint="eastAsia" w:ascii="仿宋_GB2312" w:hAnsi="仿宋_GB2312" w:eastAsia="仿宋_GB2312" w:cs="仿宋_GB2312"/>
          <w:color w:val="auto"/>
          <w:kern w:val="2"/>
          <w:sz w:val="32"/>
          <w:szCs w:val="32"/>
          <w:lang w:val="en-US" w:eastAsia="zh-CN" w:bidi="ar-SA"/>
        </w:rPr>
        <w:t xml:space="preserve">  2023年，在保障103个空气自动站、23个地表水自动站站点正常运行基础上，完成了87个乡镇降尘点位、26个市控地表水断面水质、13个集中式生活饮用水水源地、9个重点监控村庄农村环境质量、78个农村万人千吨饮用水水源地水质、23个乡镇级饮用水水源地、4个10万亩及以上农田灌区监测、123个20吨及以上农村生活污水处理设施出水水质监测、15个城市黑臭水体等环境质量监测任务；完成了41家乡镇空气站“二升六”改造任务全市环境空气自动站全部实现六参数监测。完成了1家工业园区站建设任务，及时有效支撑了全市生态环境保护工作。</w:t>
      </w:r>
    </w:p>
    <w:p>
      <w:pPr>
        <w:pStyle w:val="2"/>
        <w:keepNext w:val="0"/>
        <w:keepLines w:val="0"/>
        <w:pageBreakBefore w:val="0"/>
        <w:widowControl w:val="0"/>
        <w:kinsoku/>
        <w:wordWrap/>
        <w:overflowPunct/>
        <w:topLinePunct w:val="0"/>
        <w:bidi w:val="0"/>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完善监控网络建设  </w:t>
      </w:r>
      <w:r>
        <w:rPr>
          <w:rFonts w:hint="eastAsia" w:ascii="仿宋_GB2312" w:hAnsi="仿宋_GB2312" w:eastAsia="仿宋_GB2312" w:cs="仿宋_GB2312"/>
          <w:color w:val="auto"/>
          <w:kern w:val="0"/>
          <w:sz w:val="32"/>
          <w:szCs w:val="32"/>
        </w:rPr>
        <w:t>截至2023年底，全市累计建设联网环境自动监控设施1146套(废气1008套，废水138套)，其中2023年新增环境自动监控设施64套</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color w:val="0000FF"/>
          <w:kern w:val="0"/>
          <w:sz w:val="32"/>
          <w:szCs w:val="32"/>
          <w:lang w:val="en-US" w:eastAsia="zh-CN" w:bidi="ar-SA"/>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办理环境信访和建议提案 </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t xml:space="preserve">2023年，共受理群众各类环境信访投诉举报事项1222件，处理率100%，按期办结率100%；全年未发生因环境问题而引发的到省赴京集体上访、非正常上访、恶性上访事件。2023年度，共接收人大交办建议6件（其中协办件1个），政协提案6件（其中协办件3个），全部按期办结，走访满意度100%。 </w:t>
      </w:r>
    </w:p>
    <w:p>
      <w:pPr>
        <w:pStyle w:val="2"/>
        <w:keepNext w:val="0"/>
        <w:keepLines w:val="0"/>
        <w:pageBreakBefore w:val="0"/>
        <w:widowControl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强化环境宣传教育</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 紧紧围绕“美丽中国我是行动者”安阳市提升公民生态文明意识十大行动，组织开展了180场党的创新理论生态文明宣讲活动；成功举办了“最美环保人”评选活动；组织全市讲好环保故事征文活动；积极开展环境教育基地创建；召开了全市生态环境新闻发布会；组织拍摄的《让中国更美丽》歌曲传唱作品获得生态环境部表彰；环保设施开放工作在全省领先。精心策划六五环境日、生态日、低碳日宣传活动。统筹传统媒体与新媒体宣传，开展网络直播，在线答题，开设《大干五十天打好攻坚战》《曝光台》两个精品栏目，扬优曝劣，营造了良好的环境污染防治攻坚氛围。 </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3" w:name="_GoBack"/>
      <w:bookmarkEnd w:id="3"/>
      <w:r>
        <w:rPr>
          <w:rFonts w:hint="eastAsia" w:ascii="仿宋_GB2312" w:hAnsi="仿宋_GB2312" w:eastAsia="仿宋_GB2312" w:cs="仿宋_GB2312"/>
          <w:color w:val="auto"/>
          <w:kern w:val="2"/>
          <w:sz w:val="32"/>
          <w:szCs w:val="32"/>
          <w:lang w:val="en-US" w:eastAsia="zh-CN" w:bidi="ar-SA"/>
        </w:rPr>
        <w:t>资料来源：气候变化内容由市气象局提供；农业农村生态内容由市农业农村局提供；林业生态及生物多样性和自然保护地内容由市林业局提供；土地矿山治理内容由市水利局、市自然资源</w:t>
      </w:r>
      <w:r>
        <w:rPr>
          <w:rFonts w:hint="eastAsia" w:ascii="仿宋_GB2312" w:hAnsi="仿宋_GB2312" w:eastAsia="仿宋_GB2312" w:cs="仿宋_GB2312"/>
          <w:kern w:val="2"/>
          <w:sz w:val="32"/>
          <w:szCs w:val="32"/>
          <w:lang w:val="en-US" w:eastAsia="zh-CN" w:bidi="ar-SA"/>
        </w:rPr>
        <w:t>和规划局提供。</w:t>
      </w:r>
    </w:p>
    <w:sectPr>
      <w:footerReference r:id="rId3" w:type="default"/>
      <w:pgSz w:w="11906" w:h="16838"/>
      <w:pgMar w:top="1984" w:right="1134" w:bottom="1417"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auto"/>
    <w:pitch w:val="default"/>
    <w:sig w:usb0="00000000" w:usb1="00000000" w:usb2="0000003F" w:usb3="00000000" w:csb0="603F01FF" w:csb1="FFFF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WY5ZmYyMzZkYmVkMGI4Nzg2ZDVjZmM1YmU5OWMifQ=="/>
    <w:docVar w:name="KSO_WPS_MARK_KEY" w:val="83b4859b-68de-4c8e-b6a1-21a9bf94916a"/>
  </w:docVars>
  <w:rsids>
    <w:rsidRoot w:val="00172A27"/>
    <w:rsid w:val="02A93EA1"/>
    <w:rsid w:val="039100C2"/>
    <w:rsid w:val="05593CFB"/>
    <w:rsid w:val="06FD69AC"/>
    <w:rsid w:val="089F25A2"/>
    <w:rsid w:val="08EF3746"/>
    <w:rsid w:val="0BFF35FC"/>
    <w:rsid w:val="0CDAAB50"/>
    <w:rsid w:val="0E976D31"/>
    <w:rsid w:val="0EDF8E25"/>
    <w:rsid w:val="0EF7CEBE"/>
    <w:rsid w:val="0EFD9E23"/>
    <w:rsid w:val="0F092816"/>
    <w:rsid w:val="0F5814FF"/>
    <w:rsid w:val="0F7502AF"/>
    <w:rsid w:val="0FDDB16A"/>
    <w:rsid w:val="0FE32B65"/>
    <w:rsid w:val="0FEE9E2C"/>
    <w:rsid w:val="0FF67AF5"/>
    <w:rsid w:val="0FFFEF01"/>
    <w:rsid w:val="13F2740E"/>
    <w:rsid w:val="14FFAA0E"/>
    <w:rsid w:val="152BBF7B"/>
    <w:rsid w:val="155D33EE"/>
    <w:rsid w:val="15FF69E4"/>
    <w:rsid w:val="16EE00BD"/>
    <w:rsid w:val="175F2954"/>
    <w:rsid w:val="176F3193"/>
    <w:rsid w:val="17DED70E"/>
    <w:rsid w:val="17DF4F1C"/>
    <w:rsid w:val="17E4F064"/>
    <w:rsid w:val="17F5F38C"/>
    <w:rsid w:val="19CE82D0"/>
    <w:rsid w:val="19D8E86A"/>
    <w:rsid w:val="19E62CAF"/>
    <w:rsid w:val="1ABD056C"/>
    <w:rsid w:val="1ADF9DD6"/>
    <w:rsid w:val="1B6D8124"/>
    <w:rsid w:val="1B7EE31D"/>
    <w:rsid w:val="1B97DC89"/>
    <w:rsid w:val="1BBC5DD8"/>
    <w:rsid w:val="1BD7725A"/>
    <w:rsid w:val="1BE6B617"/>
    <w:rsid w:val="1BEF8406"/>
    <w:rsid w:val="1BF7FF9E"/>
    <w:rsid w:val="1BFD72FA"/>
    <w:rsid w:val="1BFE06D9"/>
    <w:rsid w:val="1BFFE02D"/>
    <w:rsid w:val="1C3F3DA6"/>
    <w:rsid w:val="1CA11C6E"/>
    <w:rsid w:val="1CDFCECD"/>
    <w:rsid w:val="1DC762FD"/>
    <w:rsid w:val="1DD81FD2"/>
    <w:rsid w:val="1DEA66B2"/>
    <w:rsid w:val="1DF5A8EE"/>
    <w:rsid w:val="1DFFB40F"/>
    <w:rsid w:val="1E0EFD18"/>
    <w:rsid w:val="1E5B6E5A"/>
    <w:rsid w:val="1E6F0C8B"/>
    <w:rsid w:val="1E7E0287"/>
    <w:rsid w:val="1E9F2793"/>
    <w:rsid w:val="1EED87BC"/>
    <w:rsid w:val="1EF22966"/>
    <w:rsid w:val="1F2B2298"/>
    <w:rsid w:val="1F67ACC6"/>
    <w:rsid w:val="1F6D6FD8"/>
    <w:rsid w:val="1F732BDD"/>
    <w:rsid w:val="1F7B96F0"/>
    <w:rsid w:val="1F7F4862"/>
    <w:rsid w:val="1F7FA9F0"/>
    <w:rsid w:val="1FB78E44"/>
    <w:rsid w:val="1FBF0418"/>
    <w:rsid w:val="1FBFED19"/>
    <w:rsid w:val="1FBFFCA7"/>
    <w:rsid w:val="1FD72C3A"/>
    <w:rsid w:val="1FE9E88B"/>
    <w:rsid w:val="1FEB2668"/>
    <w:rsid w:val="1FEE5576"/>
    <w:rsid w:val="1FF57043"/>
    <w:rsid w:val="1FF6A614"/>
    <w:rsid w:val="1FF6EAE5"/>
    <w:rsid w:val="1FF71A96"/>
    <w:rsid w:val="1FFD9699"/>
    <w:rsid w:val="1FFEEB21"/>
    <w:rsid w:val="1FFF0CCB"/>
    <w:rsid w:val="1FFF2975"/>
    <w:rsid w:val="20984115"/>
    <w:rsid w:val="22BF8CCA"/>
    <w:rsid w:val="234B5616"/>
    <w:rsid w:val="2395062D"/>
    <w:rsid w:val="23E73AD9"/>
    <w:rsid w:val="257753BF"/>
    <w:rsid w:val="265B7245"/>
    <w:rsid w:val="267DC0CD"/>
    <w:rsid w:val="26ECABE7"/>
    <w:rsid w:val="271B22F4"/>
    <w:rsid w:val="276FB341"/>
    <w:rsid w:val="27BED319"/>
    <w:rsid w:val="27E930B3"/>
    <w:rsid w:val="27EF2A97"/>
    <w:rsid w:val="27FA6A57"/>
    <w:rsid w:val="27FD4A25"/>
    <w:rsid w:val="27FF9D4E"/>
    <w:rsid w:val="27FFC0F9"/>
    <w:rsid w:val="28634EE7"/>
    <w:rsid w:val="295E6D96"/>
    <w:rsid w:val="296E2293"/>
    <w:rsid w:val="297F3286"/>
    <w:rsid w:val="29BDB8E8"/>
    <w:rsid w:val="29EFC3D5"/>
    <w:rsid w:val="2A326808"/>
    <w:rsid w:val="2AFEA41C"/>
    <w:rsid w:val="2B2F05B2"/>
    <w:rsid w:val="2B4F7A59"/>
    <w:rsid w:val="2B6A0FCF"/>
    <w:rsid w:val="2B9D58D9"/>
    <w:rsid w:val="2BD9DBA4"/>
    <w:rsid w:val="2BDFD325"/>
    <w:rsid w:val="2BEB26D8"/>
    <w:rsid w:val="2BFD31E5"/>
    <w:rsid w:val="2BFF0527"/>
    <w:rsid w:val="2BFFAA10"/>
    <w:rsid w:val="2C73BE8A"/>
    <w:rsid w:val="2CBD1576"/>
    <w:rsid w:val="2D3DF81F"/>
    <w:rsid w:val="2D6EDB1C"/>
    <w:rsid w:val="2D73A494"/>
    <w:rsid w:val="2DF7A264"/>
    <w:rsid w:val="2DF99BFE"/>
    <w:rsid w:val="2DFB17C1"/>
    <w:rsid w:val="2DFF62F1"/>
    <w:rsid w:val="2E2A00EF"/>
    <w:rsid w:val="2E367689"/>
    <w:rsid w:val="2EB97112"/>
    <w:rsid w:val="2EEAA3E6"/>
    <w:rsid w:val="2EF27435"/>
    <w:rsid w:val="2EFBE20A"/>
    <w:rsid w:val="2EFC0D9A"/>
    <w:rsid w:val="2F1D659B"/>
    <w:rsid w:val="2F1FC1B8"/>
    <w:rsid w:val="2F37A6B1"/>
    <w:rsid w:val="2F559222"/>
    <w:rsid w:val="2F5965E7"/>
    <w:rsid w:val="2F6729E0"/>
    <w:rsid w:val="2F6E6E99"/>
    <w:rsid w:val="2F7F4605"/>
    <w:rsid w:val="2F7FAC26"/>
    <w:rsid w:val="2F7FD1C3"/>
    <w:rsid w:val="2F9DEEEE"/>
    <w:rsid w:val="2FB1DE2F"/>
    <w:rsid w:val="2FBE31E6"/>
    <w:rsid w:val="2FBF1D1B"/>
    <w:rsid w:val="2FCD1023"/>
    <w:rsid w:val="2FCF4AC0"/>
    <w:rsid w:val="2FDC46F0"/>
    <w:rsid w:val="2FF59A06"/>
    <w:rsid w:val="2FF7DB33"/>
    <w:rsid w:val="2FFB070C"/>
    <w:rsid w:val="2FFC6237"/>
    <w:rsid w:val="2FFCEF55"/>
    <w:rsid w:val="2FFE7193"/>
    <w:rsid w:val="2FFE72BC"/>
    <w:rsid w:val="2FFF2CFC"/>
    <w:rsid w:val="308CA4DE"/>
    <w:rsid w:val="32A945C3"/>
    <w:rsid w:val="32CDB83C"/>
    <w:rsid w:val="32E67D4E"/>
    <w:rsid w:val="32ED7607"/>
    <w:rsid w:val="330E6D0C"/>
    <w:rsid w:val="33192F36"/>
    <w:rsid w:val="332A0705"/>
    <w:rsid w:val="332E5E27"/>
    <w:rsid w:val="336E32DC"/>
    <w:rsid w:val="33EF5041"/>
    <w:rsid w:val="33F7C3AD"/>
    <w:rsid w:val="33FEB5B0"/>
    <w:rsid w:val="33FFA264"/>
    <w:rsid w:val="33FFBA1E"/>
    <w:rsid w:val="34474054"/>
    <w:rsid w:val="344854C1"/>
    <w:rsid w:val="346F2BE5"/>
    <w:rsid w:val="34B79858"/>
    <w:rsid w:val="355BCF91"/>
    <w:rsid w:val="35CE97FF"/>
    <w:rsid w:val="35FD03D5"/>
    <w:rsid w:val="3637F210"/>
    <w:rsid w:val="365ED88A"/>
    <w:rsid w:val="367B54DE"/>
    <w:rsid w:val="368E6032"/>
    <w:rsid w:val="369A907E"/>
    <w:rsid w:val="369DE642"/>
    <w:rsid w:val="36B7AFE9"/>
    <w:rsid w:val="36BDCEE6"/>
    <w:rsid w:val="36EF72E5"/>
    <w:rsid w:val="36F1191A"/>
    <w:rsid w:val="36FED75C"/>
    <w:rsid w:val="36FF8844"/>
    <w:rsid w:val="371F1096"/>
    <w:rsid w:val="373FD728"/>
    <w:rsid w:val="376469BC"/>
    <w:rsid w:val="37794429"/>
    <w:rsid w:val="377BCC89"/>
    <w:rsid w:val="37B308EE"/>
    <w:rsid w:val="37B50CC0"/>
    <w:rsid w:val="37B9B114"/>
    <w:rsid w:val="37CEC1DC"/>
    <w:rsid w:val="37D54776"/>
    <w:rsid w:val="37D945A0"/>
    <w:rsid w:val="37DE69D8"/>
    <w:rsid w:val="37E675E4"/>
    <w:rsid w:val="37E7CE3E"/>
    <w:rsid w:val="37EBF400"/>
    <w:rsid w:val="37EE400B"/>
    <w:rsid w:val="37EF00E1"/>
    <w:rsid w:val="37F44039"/>
    <w:rsid w:val="37F798BE"/>
    <w:rsid w:val="37FA7FBA"/>
    <w:rsid w:val="37FB8720"/>
    <w:rsid w:val="37FECE15"/>
    <w:rsid w:val="37FFFBE8"/>
    <w:rsid w:val="387C8EC1"/>
    <w:rsid w:val="38E73D4F"/>
    <w:rsid w:val="393DDCD8"/>
    <w:rsid w:val="3971AA03"/>
    <w:rsid w:val="399C8E71"/>
    <w:rsid w:val="39CE3F11"/>
    <w:rsid w:val="39CF04BE"/>
    <w:rsid w:val="39CF9EB6"/>
    <w:rsid w:val="39E1421C"/>
    <w:rsid w:val="39F3F4C9"/>
    <w:rsid w:val="39F7027A"/>
    <w:rsid w:val="39F7652F"/>
    <w:rsid w:val="39F7C2D1"/>
    <w:rsid w:val="39F825C8"/>
    <w:rsid w:val="39FFCD8D"/>
    <w:rsid w:val="3A4B7261"/>
    <w:rsid w:val="3A66987B"/>
    <w:rsid w:val="3A77AEE3"/>
    <w:rsid w:val="3A7F771C"/>
    <w:rsid w:val="3A9F2EB2"/>
    <w:rsid w:val="3AAB296A"/>
    <w:rsid w:val="3AAFFF66"/>
    <w:rsid w:val="3ADDC6F0"/>
    <w:rsid w:val="3ADFF136"/>
    <w:rsid w:val="3AEE90E6"/>
    <w:rsid w:val="3AF169AB"/>
    <w:rsid w:val="3AFB2433"/>
    <w:rsid w:val="3AFF1554"/>
    <w:rsid w:val="3AFF80B3"/>
    <w:rsid w:val="3B25B561"/>
    <w:rsid w:val="3B3CE101"/>
    <w:rsid w:val="3B5FED54"/>
    <w:rsid w:val="3B7E044A"/>
    <w:rsid w:val="3B7F1F9A"/>
    <w:rsid w:val="3B7F7E3F"/>
    <w:rsid w:val="3B7F91D9"/>
    <w:rsid w:val="3B8D67FA"/>
    <w:rsid w:val="3BB2BED4"/>
    <w:rsid w:val="3BBC0FFE"/>
    <w:rsid w:val="3BBF51ED"/>
    <w:rsid w:val="3BD23870"/>
    <w:rsid w:val="3BDFF1FD"/>
    <w:rsid w:val="3BEF0EF0"/>
    <w:rsid w:val="3BF26B7D"/>
    <w:rsid w:val="3BF3226A"/>
    <w:rsid w:val="3BF5A222"/>
    <w:rsid w:val="3BFBE31B"/>
    <w:rsid w:val="3BFCDCEA"/>
    <w:rsid w:val="3BFF0CE4"/>
    <w:rsid w:val="3BFF6CCF"/>
    <w:rsid w:val="3BFF7763"/>
    <w:rsid w:val="3BFFAD9F"/>
    <w:rsid w:val="3BFFDB54"/>
    <w:rsid w:val="3C5B5F85"/>
    <w:rsid w:val="3C7BA1CC"/>
    <w:rsid w:val="3C7FE82E"/>
    <w:rsid w:val="3CB2371F"/>
    <w:rsid w:val="3CBFA876"/>
    <w:rsid w:val="3CEB13EA"/>
    <w:rsid w:val="3CFB9DC6"/>
    <w:rsid w:val="3CFD3055"/>
    <w:rsid w:val="3CFD6071"/>
    <w:rsid w:val="3CFD8C75"/>
    <w:rsid w:val="3D37FA3A"/>
    <w:rsid w:val="3D3F8926"/>
    <w:rsid w:val="3D4E24D2"/>
    <w:rsid w:val="3D57716C"/>
    <w:rsid w:val="3D6F232D"/>
    <w:rsid w:val="3D6F82E4"/>
    <w:rsid w:val="3D7BD22C"/>
    <w:rsid w:val="3D7E866E"/>
    <w:rsid w:val="3DADFF1F"/>
    <w:rsid w:val="3DBB524F"/>
    <w:rsid w:val="3DC2D28F"/>
    <w:rsid w:val="3DDB55EC"/>
    <w:rsid w:val="3DDE99F8"/>
    <w:rsid w:val="3DE1D864"/>
    <w:rsid w:val="3DE6EB4E"/>
    <w:rsid w:val="3DE7BAA4"/>
    <w:rsid w:val="3DEB4A1D"/>
    <w:rsid w:val="3DEECDEE"/>
    <w:rsid w:val="3DEF38E1"/>
    <w:rsid w:val="3DEFE003"/>
    <w:rsid w:val="3DFAB4A0"/>
    <w:rsid w:val="3DFF8A70"/>
    <w:rsid w:val="3E0FE267"/>
    <w:rsid w:val="3E2C426F"/>
    <w:rsid w:val="3E2C457B"/>
    <w:rsid w:val="3E2FC3D9"/>
    <w:rsid w:val="3E7BCB78"/>
    <w:rsid w:val="3E7CE4D1"/>
    <w:rsid w:val="3E7F1099"/>
    <w:rsid w:val="3E7F8CED"/>
    <w:rsid w:val="3E981190"/>
    <w:rsid w:val="3EA7F39B"/>
    <w:rsid w:val="3EB7F221"/>
    <w:rsid w:val="3EBA2A18"/>
    <w:rsid w:val="3EBE9D7A"/>
    <w:rsid w:val="3ECCCB0A"/>
    <w:rsid w:val="3ED988B5"/>
    <w:rsid w:val="3EDF5F97"/>
    <w:rsid w:val="3EDFD326"/>
    <w:rsid w:val="3EED0B81"/>
    <w:rsid w:val="3EEDB1E0"/>
    <w:rsid w:val="3EEFB3AC"/>
    <w:rsid w:val="3EF6FA5F"/>
    <w:rsid w:val="3EF765CE"/>
    <w:rsid w:val="3EF90599"/>
    <w:rsid w:val="3EF9E4BF"/>
    <w:rsid w:val="3EFEFADD"/>
    <w:rsid w:val="3EFF3F76"/>
    <w:rsid w:val="3EFFDB9B"/>
    <w:rsid w:val="3F0F15DE"/>
    <w:rsid w:val="3F1B8739"/>
    <w:rsid w:val="3F1F29A9"/>
    <w:rsid w:val="3F1FB82F"/>
    <w:rsid w:val="3F336DEB"/>
    <w:rsid w:val="3F3F5019"/>
    <w:rsid w:val="3F3F6BA3"/>
    <w:rsid w:val="3F433944"/>
    <w:rsid w:val="3F5112C2"/>
    <w:rsid w:val="3F5EF695"/>
    <w:rsid w:val="3F6A2754"/>
    <w:rsid w:val="3F6F3533"/>
    <w:rsid w:val="3F6FE20B"/>
    <w:rsid w:val="3F77EF3D"/>
    <w:rsid w:val="3F7B7C52"/>
    <w:rsid w:val="3F7D6E29"/>
    <w:rsid w:val="3F7E34F3"/>
    <w:rsid w:val="3F7E9DAB"/>
    <w:rsid w:val="3F7EDE21"/>
    <w:rsid w:val="3F7EDFB1"/>
    <w:rsid w:val="3F7F20BE"/>
    <w:rsid w:val="3F7F2327"/>
    <w:rsid w:val="3F7FC6F4"/>
    <w:rsid w:val="3FA10AE4"/>
    <w:rsid w:val="3FA59DCB"/>
    <w:rsid w:val="3FA7E65B"/>
    <w:rsid w:val="3FAD306B"/>
    <w:rsid w:val="3FAEA56F"/>
    <w:rsid w:val="3FAF8BB7"/>
    <w:rsid w:val="3FB27BC7"/>
    <w:rsid w:val="3FB64981"/>
    <w:rsid w:val="3FB927A1"/>
    <w:rsid w:val="3FBBAE86"/>
    <w:rsid w:val="3FBC1DEA"/>
    <w:rsid w:val="3FBD7A05"/>
    <w:rsid w:val="3FBD7BA0"/>
    <w:rsid w:val="3FBE53D8"/>
    <w:rsid w:val="3FBF347B"/>
    <w:rsid w:val="3FBFA143"/>
    <w:rsid w:val="3FCED775"/>
    <w:rsid w:val="3FD73C3C"/>
    <w:rsid w:val="3FD79B89"/>
    <w:rsid w:val="3FDCF1D4"/>
    <w:rsid w:val="3FDD6333"/>
    <w:rsid w:val="3FDE1B8E"/>
    <w:rsid w:val="3FDE42D3"/>
    <w:rsid w:val="3FDE42F0"/>
    <w:rsid w:val="3FDE7917"/>
    <w:rsid w:val="3FDEBC5A"/>
    <w:rsid w:val="3FDEC15C"/>
    <w:rsid w:val="3FDF1580"/>
    <w:rsid w:val="3FDFCF85"/>
    <w:rsid w:val="3FEEBBC2"/>
    <w:rsid w:val="3FEF00B8"/>
    <w:rsid w:val="3FEF5A9D"/>
    <w:rsid w:val="3FF590E9"/>
    <w:rsid w:val="3FF5BCD2"/>
    <w:rsid w:val="3FF766A1"/>
    <w:rsid w:val="3FF78510"/>
    <w:rsid w:val="3FF78D39"/>
    <w:rsid w:val="3FF79DDB"/>
    <w:rsid w:val="3FF8B98F"/>
    <w:rsid w:val="3FF9051D"/>
    <w:rsid w:val="3FF94D03"/>
    <w:rsid w:val="3FFAA729"/>
    <w:rsid w:val="3FFB59DB"/>
    <w:rsid w:val="3FFB9713"/>
    <w:rsid w:val="3FFBD5C8"/>
    <w:rsid w:val="3FFBE1DA"/>
    <w:rsid w:val="3FFD2D0E"/>
    <w:rsid w:val="3FFDC7CC"/>
    <w:rsid w:val="3FFDD6BB"/>
    <w:rsid w:val="3FFDFFA4"/>
    <w:rsid w:val="3FFE02F5"/>
    <w:rsid w:val="3FFEBFB7"/>
    <w:rsid w:val="3FFF004C"/>
    <w:rsid w:val="3FFF18FA"/>
    <w:rsid w:val="3FFFB48B"/>
    <w:rsid w:val="3FFFBE78"/>
    <w:rsid w:val="3FFFD6B6"/>
    <w:rsid w:val="3FFFE1B2"/>
    <w:rsid w:val="3FFFE9A6"/>
    <w:rsid w:val="3FFFF61D"/>
    <w:rsid w:val="412C5EC7"/>
    <w:rsid w:val="41707654"/>
    <w:rsid w:val="41DA1A43"/>
    <w:rsid w:val="43BD7300"/>
    <w:rsid w:val="441AE5B3"/>
    <w:rsid w:val="45F5A438"/>
    <w:rsid w:val="45FFCC18"/>
    <w:rsid w:val="45FFFD0B"/>
    <w:rsid w:val="46F7AA45"/>
    <w:rsid w:val="46F85F27"/>
    <w:rsid w:val="4713C20C"/>
    <w:rsid w:val="4735449C"/>
    <w:rsid w:val="477B67B8"/>
    <w:rsid w:val="47D5F6ED"/>
    <w:rsid w:val="47DEC3BA"/>
    <w:rsid w:val="47E672E6"/>
    <w:rsid w:val="47F77FB0"/>
    <w:rsid w:val="47FD4B20"/>
    <w:rsid w:val="48133623"/>
    <w:rsid w:val="48FEA9FC"/>
    <w:rsid w:val="495D6BAA"/>
    <w:rsid w:val="49BFF130"/>
    <w:rsid w:val="49F1E0ED"/>
    <w:rsid w:val="49FD2BAE"/>
    <w:rsid w:val="4AFFB297"/>
    <w:rsid w:val="4B70765C"/>
    <w:rsid w:val="4BDF7263"/>
    <w:rsid w:val="4BF4413A"/>
    <w:rsid w:val="4BFB10CB"/>
    <w:rsid w:val="4BFF072B"/>
    <w:rsid w:val="4C9F3EBF"/>
    <w:rsid w:val="4D042E24"/>
    <w:rsid w:val="4D1B2795"/>
    <w:rsid w:val="4D62A3B3"/>
    <w:rsid w:val="4D7EE1AE"/>
    <w:rsid w:val="4D7FECB0"/>
    <w:rsid w:val="4DBB7A1F"/>
    <w:rsid w:val="4DDF3433"/>
    <w:rsid w:val="4DDFE1A0"/>
    <w:rsid w:val="4DE99D34"/>
    <w:rsid w:val="4DEF3B27"/>
    <w:rsid w:val="4DF7B865"/>
    <w:rsid w:val="4DFB7B1C"/>
    <w:rsid w:val="4DFF25EF"/>
    <w:rsid w:val="4E6F6865"/>
    <w:rsid w:val="4E781D3F"/>
    <w:rsid w:val="4E7928EA"/>
    <w:rsid w:val="4E7F2D1E"/>
    <w:rsid w:val="4ECF2FC7"/>
    <w:rsid w:val="4ED67016"/>
    <w:rsid w:val="4EDF7B5D"/>
    <w:rsid w:val="4EF617C9"/>
    <w:rsid w:val="4EFFE8E4"/>
    <w:rsid w:val="4F276A9B"/>
    <w:rsid w:val="4F3D5929"/>
    <w:rsid w:val="4F6AF4BA"/>
    <w:rsid w:val="4F7737FE"/>
    <w:rsid w:val="4F7F884F"/>
    <w:rsid w:val="4F7FD905"/>
    <w:rsid w:val="4F8F3110"/>
    <w:rsid w:val="4F8F8FCE"/>
    <w:rsid w:val="4F9FC3B8"/>
    <w:rsid w:val="4FB5B6DC"/>
    <w:rsid w:val="4FB77804"/>
    <w:rsid w:val="4FD9FA05"/>
    <w:rsid w:val="4FDC8353"/>
    <w:rsid w:val="4FDF44FE"/>
    <w:rsid w:val="4FED61D1"/>
    <w:rsid w:val="4FEF5763"/>
    <w:rsid w:val="4FF51A0F"/>
    <w:rsid w:val="4FF71910"/>
    <w:rsid w:val="4FFA478A"/>
    <w:rsid w:val="4FFB8E56"/>
    <w:rsid w:val="4FFDDCA0"/>
    <w:rsid w:val="4FFE0C5A"/>
    <w:rsid w:val="4FFE8998"/>
    <w:rsid w:val="4FFF3138"/>
    <w:rsid w:val="4FFF3648"/>
    <w:rsid w:val="505B1F0A"/>
    <w:rsid w:val="50953BF9"/>
    <w:rsid w:val="50D93A60"/>
    <w:rsid w:val="516A003A"/>
    <w:rsid w:val="51EFD28E"/>
    <w:rsid w:val="51F7756C"/>
    <w:rsid w:val="51FDD1ED"/>
    <w:rsid w:val="52BD26DF"/>
    <w:rsid w:val="52BE9CC5"/>
    <w:rsid w:val="52FDFDE1"/>
    <w:rsid w:val="532114D1"/>
    <w:rsid w:val="535D4593"/>
    <w:rsid w:val="537FFE26"/>
    <w:rsid w:val="53EE8738"/>
    <w:rsid w:val="53FB7D64"/>
    <w:rsid w:val="53FBFDC7"/>
    <w:rsid w:val="53FF1BE5"/>
    <w:rsid w:val="54EAE4D9"/>
    <w:rsid w:val="54FFE4E0"/>
    <w:rsid w:val="5555BE25"/>
    <w:rsid w:val="55595151"/>
    <w:rsid w:val="5575AD15"/>
    <w:rsid w:val="557E5F2A"/>
    <w:rsid w:val="55D74641"/>
    <w:rsid w:val="55FB4EB9"/>
    <w:rsid w:val="55FF51F1"/>
    <w:rsid w:val="56DF5AD5"/>
    <w:rsid w:val="56DF70C2"/>
    <w:rsid w:val="56E760BD"/>
    <w:rsid w:val="56F8430B"/>
    <w:rsid w:val="5717D6E6"/>
    <w:rsid w:val="571809AB"/>
    <w:rsid w:val="577D7058"/>
    <w:rsid w:val="577F80AD"/>
    <w:rsid w:val="579E4EA2"/>
    <w:rsid w:val="579EAAC4"/>
    <w:rsid w:val="57AF7F21"/>
    <w:rsid w:val="57B77AB8"/>
    <w:rsid w:val="57BF1E5D"/>
    <w:rsid w:val="57BF8647"/>
    <w:rsid w:val="57BFF194"/>
    <w:rsid w:val="57CFB671"/>
    <w:rsid w:val="57DDC418"/>
    <w:rsid w:val="57E59F95"/>
    <w:rsid w:val="57E71A3A"/>
    <w:rsid w:val="57EE12CA"/>
    <w:rsid w:val="57EFC404"/>
    <w:rsid w:val="57EFD203"/>
    <w:rsid w:val="57F42963"/>
    <w:rsid w:val="57F6E853"/>
    <w:rsid w:val="57FB8B9C"/>
    <w:rsid w:val="57FF9B7F"/>
    <w:rsid w:val="58711771"/>
    <w:rsid w:val="58AB7A00"/>
    <w:rsid w:val="5900361E"/>
    <w:rsid w:val="59378534"/>
    <w:rsid w:val="593E54E9"/>
    <w:rsid w:val="5964C99A"/>
    <w:rsid w:val="59BA7B19"/>
    <w:rsid w:val="59DE3CCF"/>
    <w:rsid w:val="59DF938C"/>
    <w:rsid w:val="59E843D7"/>
    <w:rsid w:val="59F50040"/>
    <w:rsid w:val="59FB0A81"/>
    <w:rsid w:val="59FF1080"/>
    <w:rsid w:val="5A372C69"/>
    <w:rsid w:val="5A3CFD74"/>
    <w:rsid w:val="5A3F651F"/>
    <w:rsid w:val="5A7E4FE6"/>
    <w:rsid w:val="5A7F2351"/>
    <w:rsid w:val="5A7F99A6"/>
    <w:rsid w:val="5ABB86B0"/>
    <w:rsid w:val="5ADB3420"/>
    <w:rsid w:val="5ADF9B38"/>
    <w:rsid w:val="5AEAE228"/>
    <w:rsid w:val="5AF7E90C"/>
    <w:rsid w:val="5AFBA308"/>
    <w:rsid w:val="5B55A56E"/>
    <w:rsid w:val="5B6AD5D8"/>
    <w:rsid w:val="5B6F4BB6"/>
    <w:rsid w:val="5B9ED167"/>
    <w:rsid w:val="5BB63767"/>
    <w:rsid w:val="5BBFF48D"/>
    <w:rsid w:val="5BD71A5E"/>
    <w:rsid w:val="5BDEF40E"/>
    <w:rsid w:val="5BDF762D"/>
    <w:rsid w:val="5BEB72A3"/>
    <w:rsid w:val="5BECCF20"/>
    <w:rsid w:val="5BED9453"/>
    <w:rsid w:val="5BEE6D0F"/>
    <w:rsid w:val="5BEEC269"/>
    <w:rsid w:val="5BEF638B"/>
    <w:rsid w:val="5BF60720"/>
    <w:rsid w:val="5BFADCDD"/>
    <w:rsid w:val="5BFB2216"/>
    <w:rsid w:val="5BFD4250"/>
    <w:rsid w:val="5BFF311B"/>
    <w:rsid w:val="5BFF9F1F"/>
    <w:rsid w:val="5BFFB1CE"/>
    <w:rsid w:val="5C279626"/>
    <w:rsid w:val="5C279EE8"/>
    <w:rsid w:val="5C5D5868"/>
    <w:rsid w:val="5C765F36"/>
    <w:rsid w:val="5C9ECA0F"/>
    <w:rsid w:val="5CBA5C9A"/>
    <w:rsid w:val="5CBD1556"/>
    <w:rsid w:val="5CBF82EE"/>
    <w:rsid w:val="5CBFDB71"/>
    <w:rsid w:val="5CD72AD5"/>
    <w:rsid w:val="5CE3456E"/>
    <w:rsid w:val="5CF68D71"/>
    <w:rsid w:val="5CFAA766"/>
    <w:rsid w:val="5CFD3F82"/>
    <w:rsid w:val="5CFEF94D"/>
    <w:rsid w:val="5CFF5EED"/>
    <w:rsid w:val="5CFF9779"/>
    <w:rsid w:val="5D2FA87F"/>
    <w:rsid w:val="5D5F3299"/>
    <w:rsid w:val="5D5F3955"/>
    <w:rsid w:val="5D6DFD99"/>
    <w:rsid w:val="5D6EFC33"/>
    <w:rsid w:val="5D7DBE41"/>
    <w:rsid w:val="5D7FAA11"/>
    <w:rsid w:val="5D87ABCF"/>
    <w:rsid w:val="5D9DED8F"/>
    <w:rsid w:val="5DAA5929"/>
    <w:rsid w:val="5DB4D63E"/>
    <w:rsid w:val="5DCE75EA"/>
    <w:rsid w:val="5DDE1A8F"/>
    <w:rsid w:val="5DEBB11C"/>
    <w:rsid w:val="5DEBBE68"/>
    <w:rsid w:val="5DEF6B39"/>
    <w:rsid w:val="5DF3F3BA"/>
    <w:rsid w:val="5DF78564"/>
    <w:rsid w:val="5DF7C777"/>
    <w:rsid w:val="5DF8C936"/>
    <w:rsid w:val="5DFB5E83"/>
    <w:rsid w:val="5DFF286D"/>
    <w:rsid w:val="5DFF2FF3"/>
    <w:rsid w:val="5DFF4D85"/>
    <w:rsid w:val="5DFF7DBB"/>
    <w:rsid w:val="5DFF9DB0"/>
    <w:rsid w:val="5DFFFC7A"/>
    <w:rsid w:val="5E1F69F2"/>
    <w:rsid w:val="5E4E96DE"/>
    <w:rsid w:val="5E77DCE7"/>
    <w:rsid w:val="5E77E626"/>
    <w:rsid w:val="5E7D6DC7"/>
    <w:rsid w:val="5E7DD635"/>
    <w:rsid w:val="5EBD4B3E"/>
    <w:rsid w:val="5EBEF4C7"/>
    <w:rsid w:val="5EBFFF96"/>
    <w:rsid w:val="5ECF1797"/>
    <w:rsid w:val="5ED16CD1"/>
    <w:rsid w:val="5EDBEE2C"/>
    <w:rsid w:val="5EDEB08E"/>
    <w:rsid w:val="5EE70E16"/>
    <w:rsid w:val="5EEB8B6E"/>
    <w:rsid w:val="5EF3B25A"/>
    <w:rsid w:val="5EF7B4BE"/>
    <w:rsid w:val="5EFFB20A"/>
    <w:rsid w:val="5EFFC1E1"/>
    <w:rsid w:val="5EFFF330"/>
    <w:rsid w:val="5F037984"/>
    <w:rsid w:val="5F1B84E2"/>
    <w:rsid w:val="5F2F86E1"/>
    <w:rsid w:val="5F474677"/>
    <w:rsid w:val="5F4B62C3"/>
    <w:rsid w:val="5F632F6A"/>
    <w:rsid w:val="5F67C7A2"/>
    <w:rsid w:val="5F6E897C"/>
    <w:rsid w:val="5F6F943D"/>
    <w:rsid w:val="5F7520D6"/>
    <w:rsid w:val="5F759116"/>
    <w:rsid w:val="5F75AA2B"/>
    <w:rsid w:val="5F79807C"/>
    <w:rsid w:val="5F7DD859"/>
    <w:rsid w:val="5F7DF59A"/>
    <w:rsid w:val="5F7F618D"/>
    <w:rsid w:val="5F7FA55B"/>
    <w:rsid w:val="5F7FE43A"/>
    <w:rsid w:val="5F7FF695"/>
    <w:rsid w:val="5F96DA66"/>
    <w:rsid w:val="5F9B6FF5"/>
    <w:rsid w:val="5F9C3F8A"/>
    <w:rsid w:val="5F9F641B"/>
    <w:rsid w:val="5FA249A5"/>
    <w:rsid w:val="5FA79AAA"/>
    <w:rsid w:val="5FAF17BD"/>
    <w:rsid w:val="5FAFBA33"/>
    <w:rsid w:val="5FB43BEF"/>
    <w:rsid w:val="5FBEDC45"/>
    <w:rsid w:val="5FBEEFB1"/>
    <w:rsid w:val="5FBEFC8A"/>
    <w:rsid w:val="5FBF3C91"/>
    <w:rsid w:val="5FBF4B4D"/>
    <w:rsid w:val="5FBF4BA6"/>
    <w:rsid w:val="5FBF4CD4"/>
    <w:rsid w:val="5FBFB709"/>
    <w:rsid w:val="5FCDFE5F"/>
    <w:rsid w:val="5FCF90D3"/>
    <w:rsid w:val="5FCFB130"/>
    <w:rsid w:val="5FD2E692"/>
    <w:rsid w:val="5FD38874"/>
    <w:rsid w:val="5FD72CD1"/>
    <w:rsid w:val="5FDE2F42"/>
    <w:rsid w:val="5FDE530C"/>
    <w:rsid w:val="5FDF0367"/>
    <w:rsid w:val="5FDF3D39"/>
    <w:rsid w:val="5FDFE727"/>
    <w:rsid w:val="5FEAFCA5"/>
    <w:rsid w:val="5FEBF67F"/>
    <w:rsid w:val="5FEE8573"/>
    <w:rsid w:val="5FEF19C2"/>
    <w:rsid w:val="5FF105C3"/>
    <w:rsid w:val="5FF37B23"/>
    <w:rsid w:val="5FF6135B"/>
    <w:rsid w:val="5FF654F9"/>
    <w:rsid w:val="5FF7A527"/>
    <w:rsid w:val="5FF7CAFA"/>
    <w:rsid w:val="5FF92B39"/>
    <w:rsid w:val="5FFB1024"/>
    <w:rsid w:val="5FFBA8E2"/>
    <w:rsid w:val="5FFD86A9"/>
    <w:rsid w:val="5FFE5289"/>
    <w:rsid w:val="5FFEC399"/>
    <w:rsid w:val="5FFEF672"/>
    <w:rsid w:val="5FFF2C23"/>
    <w:rsid w:val="5FFF6970"/>
    <w:rsid w:val="5FFF74CF"/>
    <w:rsid w:val="5FFF7537"/>
    <w:rsid w:val="5FFF81D0"/>
    <w:rsid w:val="5FFFBB98"/>
    <w:rsid w:val="5FFFCAA6"/>
    <w:rsid w:val="5FFFF504"/>
    <w:rsid w:val="604714CE"/>
    <w:rsid w:val="612341F3"/>
    <w:rsid w:val="61BC7E9B"/>
    <w:rsid w:val="61DF4F26"/>
    <w:rsid w:val="61F3A0FE"/>
    <w:rsid w:val="628458FA"/>
    <w:rsid w:val="62BD6A51"/>
    <w:rsid w:val="633E6554"/>
    <w:rsid w:val="634B3188"/>
    <w:rsid w:val="636FCA9D"/>
    <w:rsid w:val="637759E6"/>
    <w:rsid w:val="63A7219D"/>
    <w:rsid w:val="63AF41C2"/>
    <w:rsid w:val="63FFE128"/>
    <w:rsid w:val="63FFFCE6"/>
    <w:rsid w:val="647F531E"/>
    <w:rsid w:val="64BF505B"/>
    <w:rsid w:val="64D7385F"/>
    <w:rsid w:val="64EE2B53"/>
    <w:rsid w:val="653D041E"/>
    <w:rsid w:val="659C922E"/>
    <w:rsid w:val="65AE7D1E"/>
    <w:rsid w:val="65DF9116"/>
    <w:rsid w:val="65EF3178"/>
    <w:rsid w:val="65EFDBD2"/>
    <w:rsid w:val="65FD1096"/>
    <w:rsid w:val="669E8649"/>
    <w:rsid w:val="66B74A3F"/>
    <w:rsid w:val="66B7DA26"/>
    <w:rsid w:val="66D91F2C"/>
    <w:rsid w:val="66DD89C3"/>
    <w:rsid w:val="66F7DF88"/>
    <w:rsid w:val="66FE92C8"/>
    <w:rsid w:val="66FF6732"/>
    <w:rsid w:val="672EB691"/>
    <w:rsid w:val="6736D9F8"/>
    <w:rsid w:val="673A3D5A"/>
    <w:rsid w:val="676DA0B0"/>
    <w:rsid w:val="67735BC1"/>
    <w:rsid w:val="677DEC33"/>
    <w:rsid w:val="677E154D"/>
    <w:rsid w:val="677EDA7E"/>
    <w:rsid w:val="677F53E8"/>
    <w:rsid w:val="677F57BC"/>
    <w:rsid w:val="677FAE9A"/>
    <w:rsid w:val="677FFD23"/>
    <w:rsid w:val="679D6C3D"/>
    <w:rsid w:val="67B41E69"/>
    <w:rsid w:val="67B9095E"/>
    <w:rsid w:val="67B9AA44"/>
    <w:rsid w:val="67BFE88A"/>
    <w:rsid w:val="67CEC402"/>
    <w:rsid w:val="67D057AC"/>
    <w:rsid w:val="67D9ED6C"/>
    <w:rsid w:val="67DC940E"/>
    <w:rsid w:val="67EC07FF"/>
    <w:rsid w:val="67ED2AF5"/>
    <w:rsid w:val="67EF5767"/>
    <w:rsid w:val="67F7426A"/>
    <w:rsid w:val="67F797DF"/>
    <w:rsid w:val="67FBD88E"/>
    <w:rsid w:val="67FF5203"/>
    <w:rsid w:val="67FF8180"/>
    <w:rsid w:val="67FF864B"/>
    <w:rsid w:val="67FFB4C5"/>
    <w:rsid w:val="67FFE43E"/>
    <w:rsid w:val="685EE4EC"/>
    <w:rsid w:val="68C96BC1"/>
    <w:rsid w:val="68F7E6E8"/>
    <w:rsid w:val="68FF1CD4"/>
    <w:rsid w:val="698FB539"/>
    <w:rsid w:val="69A0C08F"/>
    <w:rsid w:val="69BE502F"/>
    <w:rsid w:val="69C49AC0"/>
    <w:rsid w:val="69CC9EE6"/>
    <w:rsid w:val="69EF8493"/>
    <w:rsid w:val="69FBCE9C"/>
    <w:rsid w:val="69FCF13E"/>
    <w:rsid w:val="69FEE147"/>
    <w:rsid w:val="6A6DF1CE"/>
    <w:rsid w:val="6A7B408C"/>
    <w:rsid w:val="6A7F025F"/>
    <w:rsid w:val="6AAAD96F"/>
    <w:rsid w:val="6ABF41DB"/>
    <w:rsid w:val="6AEB9EB2"/>
    <w:rsid w:val="6AF51270"/>
    <w:rsid w:val="6AFDF3B4"/>
    <w:rsid w:val="6B1E91E4"/>
    <w:rsid w:val="6B3C8B55"/>
    <w:rsid w:val="6B3FEEEC"/>
    <w:rsid w:val="6B69E43F"/>
    <w:rsid w:val="6B6B2352"/>
    <w:rsid w:val="6B7FA470"/>
    <w:rsid w:val="6BBD95E2"/>
    <w:rsid w:val="6BBFB04B"/>
    <w:rsid w:val="6BD3C535"/>
    <w:rsid w:val="6BEB5535"/>
    <w:rsid w:val="6BEF3F84"/>
    <w:rsid w:val="6BFB0B50"/>
    <w:rsid w:val="6BFEB098"/>
    <w:rsid w:val="6BFEE424"/>
    <w:rsid w:val="6BFF10C3"/>
    <w:rsid w:val="6BFF8F42"/>
    <w:rsid w:val="6BFFEEE7"/>
    <w:rsid w:val="6C4B45D9"/>
    <w:rsid w:val="6C5F6848"/>
    <w:rsid w:val="6CAF9C86"/>
    <w:rsid w:val="6CAFB2BD"/>
    <w:rsid w:val="6CCF7A56"/>
    <w:rsid w:val="6CEAE420"/>
    <w:rsid w:val="6CF79430"/>
    <w:rsid w:val="6CFC91D7"/>
    <w:rsid w:val="6CFD2D21"/>
    <w:rsid w:val="6CFF2862"/>
    <w:rsid w:val="6CFF88B5"/>
    <w:rsid w:val="6D1FA9DA"/>
    <w:rsid w:val="6D3F389A"/>
    <w:rsid w:val="6D3F40AB"/>
    <w:rsid w:val="6D4EA927"/>
    <w:rsid w:val="6D6F3762"/>
    <w:rsid w:val="6D701B8B"/>
    <w:rsid w:val="6D7EA408"/>
    <w:rsid w:val="6D9F2764"/>
    <w:rsid w:val="6DADC606"/>
    <w:rsid w:val="6DAF211A"/>
    <w:rsid w:val="6DAF4B55"/>
    <w:rsid w:val="6DBDFA6F"/>
    <w:rsid w:val="6DCB5DD8"/>
    <w:rsid w:val="6DCFE76A"/>
    <w:rsid w:val="6DDB36DA"/>
    <w:rsid w:val="6DDFB653"/>
    <w:rsid w:val="6DE0BC85"/>
    <w:rsid w:val="6DE28A04"/>
    <w:rsid w:val="6DF5EAE4"/>
    <w:rsid w:val="6DF76EE8"/>
    <w:rsid w:val="6DF7E378"/>
    <w:rsid w:val="6DFD8005"/>
    <w:rsid w:val="6DFF5B9D"/>
    <w:rsid w:val="6E192AF5"/>
    <w:rsid w:val="6E350F9A"/>
    <w:rsid w:val="6E574873"/>
    <w:rsid w:val="6E6D6F3A"/>
    <w:rsid w:val="6E6E35B8"/>
    <w:rsid w:val="6E6F1274"/>
    <w:rsid w:val="6E73FA5D"/>
    <w:rsid w:val="6E774D6A"/>
    <w:rsid w:val="6E7DB760"/>
    <w:rsid w:val="6E7F5C1E"/>
    <w:rsid w:val="6EA711DA"/>
    <w:rsid w:val="6EBF0B05"/>
    <w:rsid w:val="6EBFCE55"/>
    <w:rsid w:val="6ECA5D62"/>
    <w:rsid w:val="6EDD8C22"/>
    <w:rsid w:val="6EE75F91"/>
    <w:rsid w:val="6EEAF6EF"/>
    <w:rsid w:val="6EF77867"/>
    <w:rsid w:val="6EF7919D"/>
    <w:rsid w:val="6EF9A351"/>
    <w:rsid w:val="6EFF80FC"/>
    <w:rsid w:val="6EFFA78C"/>
    <w:rsid w:val="6EFFB113"/>
    <w:rsid w:val="6F19000F"/>
    <w:rsid w:val="6F2E14EC"/>
    <w:rsid w:val="6F2F5D0A"/>
    <w:rsid w:val="6F3B33BE"/>
    <w:rsid w:val="6F3DDAD7"/>
    <w:rsid w:val="6F3F83A2"/>
    <w:rsid w:val="6F3FC264"/>
    <w:rsid w:val="6F439CEA"/>
    <w:rsid w:val="6F470487"/>
    <w:rsid w:val="6F562390"/>
    <w:rsid w:val="6F5D0DF1"/>
    <w:rsid w:val="6F5F6742"/>
    <w:rsid w:val="6F5F7BA5"/>
    <w:rsid w:val="6F5F9D0C"/>
    <w:rsid w:val="6F63FA75"/>
    <w:rsid w:val="6F6E2DAC"/>
    <w:rsid w:val="6F6E4B24"/>
    <w:rsid w:val="6F7313C5"/>
    <w:rsid w:val="6F732F80"/>
    <w:rsid w:val="6F7B5CCF"/>
    <w:rsid w:val="6F7BE08C"/>
    <w:rsid w:val="6F7F180F"/>
    <w:rsid w:val="6F7F64DF"/>
    <w:rsid w:val="6F7FC527"/>
    <w:rsid w:val="6F7FDBE6"/>
    <w:rsid w:val="6F933969"/>
    <w:rsid w:val="6F9386B9"/>
    <w:rsid w:val="6F97AC39"/>
    <w:rsid w:val="6FA949C7"/>
    <w:rsid w:val="6FAC61A4"/>
    <w:rsid w:val="6FB77993"/>
    <w:rsid w:val="6FBA4D8C"/>
    <w:rsid w:val="6FBB0F33"/>
    <w:rsid w:val="6FBBF638"/>
    <w:rsid w:val="6FBC226D"/>
    <w:rsid w:val="6FBF05AC"/>
    <w:rsid w:val="6FCFE159"/>
    <w:rsid w:val="6FD9A9B1"/>
    <w:rsid w:val="6FDAFB7E"/>
    <w:rsid w:val="6FDB204D"/>
    <w:rsid w:val="6FDEAA5F"/>
    <w:rsid w:val="6FDF1A23"/>
    <w:rsid w:val="6FDF71BF"/>
    <w:rsid w:val="6FDF7527"/>
    <w:rsid w:val="6FDFE1BA"/>
    <w:rsid w:val="6FE6E955"/>
    <w:rsid w:val="6FE7B44C"/>
    <w:rsid w:val="6FEFEFDF"/>
    <w:rsid w:val="6FF7CA98"/>
    <w:rsid w:val="6FF912B2"/>
    <w:rsid w:val="6FFABB1A"/>
    <w:rsid w:val="6FFB4C51"/>
    <w:rsid w:val="6FFB64A0"/>
    <w:rsid w:val="6FFD4F3E"/>
    <w:rsid w:val="6FFD6BA0"/>
    <w:rsid w:val="6FFE12AE"/>
    <w:rsid w:val="6FFE675E"/>
    <w:rsid w:val="6FFF24BF"/>
    <w:rsid w:val="6FFF7108"/>
    <w:rsid w:val="6FFF85E0"/>
    <w:rsid w:val="6FFF902B"/>
    <w:rsid w:val="6FFFAAE7"/>
    <w:rsid w:val="6FFFF1AF"/>
    <w:rsid w:val="70F999B6"/>
    <w:rsid w:val="715F06EE"/>
    <w:rsid w:val="7177205F"/>
    <w:rsid w:val="717D85A6"/>
    <w:rsid w:val="71DD0A81"/>
    <w:rsid w:val="725A5CDB"/>
    <w:rsid w:val="726F9933"/>
    <w:rsid w:val="72AE5888"/>
    <w:rsid w:val="72BC27CA"/>
    <w:rsid w:val="72BCC416"/>
    <w:rsid w:val="72EFCB0B"/>
    <w:rsid w:val="72F0DB18"/>
    <w:rsid w:val="72F718DD"/>
    <w:rsid w:val="72F7FEAC"/>
    <w:rsid w:val="72FBD95F"/>
    <w:rsid w:val="72FF41F6"/>
    <w:rsid w:val="72FF9186"/>
    <w:rsid w:val="7333E7A8"/>
    <w:rsid w:val="7346B7CC"/>
    <w:rsid w:val="734740D4"/>
    <w:rsid w:val="737353A3"/>
    <w:rsid w:val="73769323"/>
    <w:rsid w:val="7377D0D6"/>
    <w:rsid w:val="737E3DE0"/>
    <w:rsid w:val="737F9E90"/>
    <w:rsid w:val="737FDD8D"/>
    <w:rsid w:val="737FE01C"/>
    <w:rsid w:val="73AFDEDC"/>
    <w:rsid w:val="73C7E9C9"/>
    <w:rsid w:val="73CBBB5E"/>
    <w:rsid w:val="73D97A95"/>
    <w:rsid w:val="73EB7DA5"/>
    <w:rsid w:val="73F87A88"/>
    <w:rsid w:val="73FC4E40"/>
    <w:rsid w:val="73FD5574"/>
    <w:rsid w:val="73FD72A6"/>
    <w:rsid w:val="73FEEF55"/>
    <w:rsid w:val="73FF5308"/>
    <w:rsid w:val="73FF8C2D"/>
    <w:rsid w:val="743405AF"/>
    <w:rsid w:val="743B18E0"/>
    <w:rsid w:val="747E0B2B"/>
    <w:rsid w:val="74F559D0"/>
    <w:rsid w:val="74FD1439"/>
    <w:rsid w:val="74FF73D8"/>
    <w:rsid w:val="7507836A"/>
    <w:rsid w:val="7513EEC1"/>
    <w:rsid w:val="75196158"/>
    <w:rsid w:val="753D14A7"/>
    <w:rsid w:val="753E33BB"/>
    <w:rsid w:val="753F198C"/>
    <w:rsid w:val="756FF1E8"/>
    <w:rsid w:val="757CDB44"/>
    <w:rsid w:val="757FA200"/>
    <w:rsid w:val="758F48FC"/>
    <w:rsid w:val="75ACAA15"/>
    <w:rsid w:val="75AF30D7"/>
    <w:rsid w:val="75BFA3D7"/>
    <w:rsid w:val="75CA886D"/>
    <w:rsid w:val="75CE9AF1"/>
    <w:rsid w:val="75D72092"/>
    <w:rsid w:val="75DD2298"/>
    <w:rsid w:val="75DFF3AF"/>
    <w:rsid w:val="75E2DD7D"/>
    <w:rsid w:val="75EC1E64"/>
    <w:rsid w:val="75ED247F"/>
    <w:rsid w:val="75EF5595"/>
    <w:rsid w:val="75EFC42A"/>
    <w:rsid w:val="75EFD189"/>
    <w:rsid w:val="75F2618A"/>
    <w:rsid w:val="75F31D94"/>
    <w:rsid w:val="75F740F6"/>
    <w:rsid w:val="75FD0C3D"/>
    <w:rsid w:val="75FF47E6"/>
    <w:rsid w:val="75FF6888"/>
    <w:rsid w:val="75FF9B67"/>
    <w:rsid w:val="75FFB220"/>
    <w:rsid w:val="76342587"/>
    <w:rsid w:val="763F04C8"/>
    <w:rsid w:val="765EB5FF"/>
    <w:rsid w:val="76657AB0"/>
    <w:rsid w:val="766B64EF"/>
    <w:rsid w:val="767D93A2"/>
    <w:rsid w:val="767E32DB"/>
    <w:rsid w:val="767F2EAE"/>
    <w:rsid w:val="769F28BE"/>
    <w:rsid w:val="769FA28D"/>
    <w:rsid w:val="76AD80E6"/>
    <w:rsid w:val="76B99A8E"/>
    <w:rsid w:val="76BDC2E2"/>
    <w:rsid w:val="76BF67B9"/>
    <w:rsid w:val="76CDDC36"/>
    <w:rsid w:val="76CFF8F2"/>
    <w:rsid w:val="76D2F635"/>
    <w:rsid w:val="76D59A98"/>
    <w:rsid w:val="76D5C133"/>
    <w:rsid w:val="76D6A58E"/>
    <w:rsid w:val="76DB3C2E"/>
    <w:rsid w:val="76DE32A8"/>
    <w:rsid w:val="76DE543E"/>
    <w:rsid w:val="76DE6FEA"/>
    <w:rsid w:val="76EA9692"/>
    <w:rsid w:val="76EBAFD8"/>
    <w:rsid w:val="76F72B20"/>
    <w:rsid w:val="76F7EEC9"/>
    <w:rsid w:val="76FB2067"/>
    <w:rsid w:val="76FC1CDE"/>
    <w:rsid w:val="76FE8C92"/>
    <w:rsid w:val="76FEC398"/>
    <w:rsid w:val="76FF3538"/>
    <w:rsid w:val="76FF4F0E"/>
    <w:rsid w:val="772FB8EE"/>
    <w:rsid w:val="773D7B1B"/>
    <w:rsid w:val="77434ACF"/>
    <w:rsid w:val="774CDF2D"/>
    <w:rsid w:val="774F42F3"/>
    <w:rsid w:val="7757F4AB"/>
    <w:rsid w:val="775948E7"/>
    <w:rsid w:val="776D711F"/>
    <w:rsid w:val="776F4503"/>
    <w:rsid w:val="77758E1A"/>
    <w:rsid w:val="7777B980"/>
    <w:rsid w:val="777B7DCD"/>
    <w:rsid w:val="777B7E1E"/>
    <w:rsid w:val="777F0790"/>
    <w:rsid w:val="777F2C0A"/>
    <w:rsid w:val="777F3906"/>
    <w:rsid w:val="777F7459"/>
    <w:rsid w:val="777FA102"/>
    <w:rsid w:val="777FAC0C"/>
    <w:rsid w:val="777FDC43"/>
    <w:rsid w:val="777FEDAC"/>
    <w:rsid w:val="77880DF5"/>
    <w:rsid w:val="778BACE9"/>
    <w:rsid w:val="77977879"/>
    <w:rsid w:val="77AF49EE"/>
    <w:rsid w:val="77B7D8F8"/>
    <w:rsid w:val="77BA61F2"/>
    <w:rsid w:val="77BBB8A9"/>
    <w:rsid w:val="77BE1664"/>
    <w:rsid w:val="77BEE6E4"/>
    <w:rsid w:val="77BF0908"/>
    <w:rsid w:val="77BFC0FA"/>
    <w:rsid w:val="77CB35C2"/>
    <w:rsid w:val="77CD9DB6"/>
    <w:rsid w:val="77D5EB5A"/>
    <w:rsid w:val="77D791DD"/>
    <w:rsid w:val="77D91C9F"/>
    <w:rsid w:val="77DC7441"/>
    <w:rsid w:val="77DEA25D"/>
    <w:rsid w:val="77DEF10C"/>
    <w:rsid w:val="77DFA7BC"/>
    <w:rsid w:val="77DFD67E"/>
    <w:rsid w:val="77EEEB96"/>
    <w:rsid w:val="77EF92E2"/>
    <w:rsid w:val="77F12087"/>
    <w:rsid w:val="77F673DC"/>
    <w:rsid w:val="77F680E6"/>
    <w:rsid w:val="77F7C772"/>
    <w:rsid w:val="77F7FF1A"/>
    <w:rsid w:val="77F9F106"/>
    <w:rsid w:val="77FA96A7"/>
    <w:rsid w:val="77FB1198"/>
    <w:rsid w:val="77FB866F"/>
    <w:rsid w:val="77FBC5BD"/>
    <w:rsid w:val="77FC85B6"/>
    <w:rsid w:val="77FD2DA6"/>
    <w:rsid w:val="77FD38EE"/>
    <w:rsid w:val="77FD6576"/>
    <w:rsid w:val="77FF2B88"/>
    <w:rsid w:val="77FF396C"/>
    <w:rsid w:val="77FF557B"/>
    <w:rsid w:val="78564320"/>
    <w:rsid w:val="7866FE04"/>
    <w:rsid w:val="787FC166"/>
    <w:rsid w:val="788F1D52"/>
    <w:rsid w:val="78BF88DA"/>
    <w:rsid w:val="78BF9A35"/>
    <w:rsid w:val="78CF2F49"/>
    <w:rsid w:val="78DEA6FC"/>
    <w:rsid w:val="78EBAAB3"/>
    <w:rsid w:val="78ED91BA"/>
    <w:rsid w:val="78F733D0"/>
    <w:rsid w:val="78FD6813"/>
    <w:rsid w:val="78FF7325"/>
    <w:rsid w:val="79536AF5"/>
    <w:rsid w:val="795D6537"/>
    <w:rsid w:val="797EBB31"/>
    <w:rsid w:val="799275D8"/>
    <w:rsid w:val="79B9CDEE"/>
    <w:rsid w:val="79BA5AB3"/>
    <w:rsid w:val="79BB9865"/>
    <w:rsid w:val="79BD66C8"/>
    <w:rsid w:val="79BF2079"/>
    <w:rsid w:val="79BFD79E"/>
    <w:rsid w:val="79C7135D"/>
    <w:rsid w:val="79CF7EA9"/>
    <w:rsid w:val="79D83854"/>
    <w:rsid w:val="79DBC0BE"/>
    <w:rsid w:val="79EFC5B9"/>
    <w:rsid w:val="79F3B633"/>
    <w:rsid w:val="79F6FFD0"/>
    <w:rsid w:val="79F744D4"/>
    <w:rsid w:val="79F79911"/>
    <w:rsid w:val="79FF5175"/>
    <w:rsid w:val="79FFD3E3"/>
    <w:rsid w:val="79FFE9B9"/>
    <w:rsid w:val="7A1A887C"/>
    <w:rsid w:val="7A1F2AE6"/>
    <w:rsid w:val="7A3768ED"/>
    <w:rsid w:val="7A3F0C48"/>
    <w:rsid w:val="7A5D0F98"/>
    <w:rsid w:val="7A5F0AD9"/>
    <w:rsid w:val="7A6F4F93"/>
    <w:rsid w:val="7A797773"/>
    <w:rsid w:val="7A7B3249"/>
    <w:rsid w:val="7A7D2726"/>
    <w:rsid w:val="7A7D550D"/>
    <w:rsid w:val="7A7FCFF9"/>
    <w:rsid w:val="7AB539E2"/>
    <w:rsid w:val="7ABBEF2B"/>
    <w:rsid w:val="7ACE0472"/>
    <w:rsid w:val="7AD76D76"/>
    <w:rsid w:val="7AD9F351"/>
    <w:rsid w:val="7ADF07E3"/>
    <w:rsid w:val="7ADF3B9D"/>
    <w:rsid w:val="7ADFF26A"/>
    <w:rsid w:val="7AE7AEF6"/>
    <w:rsid w:val="7AEE60F2"/>
    <w:rsid w:val="7AF466E7"/>
    <w:rsid w:val="7AF78260"/>
    <w:rsid w:val="7AF78703"/>
    <w:rsid w:val="7AF7E6D5"/>
    <w:rsid w:val="7B2CF396"/>
    <w:rsid w:val="7B2D334A"/>
    <w:rsid w:val="7B36F9F3"/>
    <w:rsid w:val="7B3DDC12"/>
    <w:rsid w:val="7B3EFEBF"/>
    <w:rsid w:val="7B3F0D22"/>
    <w:rsid w:val="7B4541D7"/>
    <w:rsid w:val="7B477C71"/>
    <w:rsid w:val="7B4DD16B"/>
    <w:rsid w:val="7B5C2198"/>
    <w:rsid w:val="7B6B1980"/>
    <w:rsid w:val="7B6B25B1"/>
    <w:rsid w:val="7B7399DF"/>
    <w:rsid w:val="7B7726A5"/>
    <w:rsid w:val="7B7B09AB"/>
    <w:rsid w:val="7B7ED2CA"/>
    <w:rsid w:val="7B7F3E30"/>
    <w:rsid w:val="7B7F7F83"/>
    <w:rsid w:val="7B7F8559"/>
    <w:rsid w:val="7B8F3196"/>
    <w:rsid w:val="7B976CF9"/>
    <w:rsid w:val="7B97A33E"/>
    <w:rsid w:val="7B9E0D32"/>
    <w:rsid w:val="7B9F5BC2"/>
    <w:rsid w:val="7B9FA540"/>
    <w:rsid w:val="7B9FC40D"/>
    <w:rsid w:val="7BA28AD8"/>
    <w:rsid w:val="7BA6028E"/>
    <w:rsid w:val="7BAD98F5"/>
    <w:rsid w:val="7BB6E988"/>
    <w:rsid w:val="7BBA0768"/>
    <w:rsid w:val="7BBACEEC"/>
    <w:rsid w:val="7BBD1254"/>
    <w:rsid w:val="7BBD6088"/>
    <w:rsid w:val="7BBDAFEA"/>
    <w:rsid w:val="7BBE25FE"/>
    <w:rsid w:val="7BBF322B"/>
    <w:rsid w:val="7BBF38B5"/>
    <w:rsid w:val="7BC7143C"/>
    <w:rsid w:val="7BC7CE93"/>
    <w:rsid w:val="7BCB8DC7"/>
    <w:rsid w:val="7BCF95B7"/>
    <w:rsid w:val="7BD3D369"/>
    <w:rsid w:val="7BD73BB0"/>
    <w:rsid w:val="7BD7AA42"/>
    <w:rsid w:val="7BDDFCD9"/>
    <w:rsid w:val="7BDE7D1C"/>
    <w:rsid w:val="7BDE8019"/>
    <w:rsid w:val="7BDE84F3"/>
    <w:rsid w:val="7BEA9C40"/>
    <w:rsid w:val="7BEB44DA"/>
    <w:rsid w:val="7BEB7482"/>
    <w:rsid w:val="7BEF39D1"/>
    <w:rsid w:val="7BEFAA37"/>
    <w:rsid w:val="7BEFD452"/>
    <w:rsid w:val="7BF17711"/>
    <w:rsid w:val="7BF515C7"/>
    <w:rsid w:val="7BF7220B"/>
    <w:rsid w:val="7BF752D2"/>
    <w:rsid w:val="7BF81056"/>
    <w:rsid w:val="7BF92C1F"/>
    <w:rsid w:val="7BFB1BCC"/>
    <w:rsid w:val="7BFB6F4A"/>
    <w:rsid w:val="7BFB93B4"/>
    <w:rsid w:val="7BFBF2BD"/>
    <w:rsid w:val="7BFC699B"/>
    <w:rsid w:val="7BFD4CD6"/>
    <w:rsid w:val="7BFD5390"/>
    <w:rsid w:val="7BFDB50F"/>
    <w:rsid w:val="7BFE73D9"/>
    <w:rsid w:val="7BFEDCDF"/>
    <w:rsid w:val="7BFF50E0"/>
    <w:rsid w:val="7BFF7648"/>
    <w:rsid w:val="7BFFA9DA"/>
    <w:rsid w:val="7BFFDEB9"/>
    <w:rsid w:val="7BFFF99E"/>
    <w:rsid w:val="7C6FE31C"/>
    <w:rsid w:val="7C769D36"/>
    <w:rsid w:val="7C97DEE7"/>
    <w:rsid w:val="7CC9ADAD"/>
    <w:rsid w:val="7CD77657"/>
    <w:rsid w:val="7CF35A16"/>
    <w:rsid w:val="7CF9CAFF"/>
    <w:rsid w:val="7CFA2323"/>
    <w:rsid w:val="7CFC37D3"/>
    <w:rsid w:val="7CFDFA21"/>
    <w:rsid w:val="7CFE5CD7"/>
    <w:rsid w:val="7CFFE470"/>
    <w:rsid w:val="7D2B5B98"/>
    <w:rsid w:val="7D378837"/>
    <w:rsid w:val="7D3913A0"/>
    <w:rsid w:val="7D3E0C66"/>
    <w:rsid w:val="7D3F66F2"/>
    <w:rsid w:val="7D4785C2"/>
    <w:rsid w:val="7D4FE989"/>
    <w:rsid w:val="7D5364DD"/>
    <w:rsid w:val="7D55D8BF"/>
    <w:rsid w:val="7D5D0FC2"/>
    <w:rsid w:val="7D5E816E"/>
    <w:rsid w:val="7D5FEECF"/>
    <w:rsid w:val="7D6E4FBC"/>
    <w:rsid w:val="7D6F5169"/>
    <w:rsid w:val="7D773E14"/>
    <w:rsid w:val="7D776CF9"/>
    <w:rsid w:val="7D77A97C"/>
    <w:rsid w:val="7D7BF193"/>
    <w:rsid w:val="7D7C3B38"/>
    <w:rsid w:val="7D7D59FD"/>
    <w:rsid w:val="7D7E2605"/>
    <w:rsid w:val="7D7E5A94"/>
    <w:rsid w:val="7D7F3805"/>
    <w:rsid w:val="7D7F84C3"/>
    <w:rsid w:val="7D8FED67"/>
    <w:rsid w:val="7D95F2E7"/>
    <w:rsid w:val="7D9F73F1"/>
    <w:rsid w:val="7DAA79E3"/>
    <w:rsid w:val="7DB796C5"/>
    <w:rsid w:val="7DBA8E75"/>
    <w:rsid w:val="7DBE5D6C"/>
    <w:rsid w:val="7DBEA849"/>
    <w:rsid w:val="7DBFAD8A"/>
    <w:rsid w:val="7DC1B713"/>
    <w:rsid w:val="7DC9A842"/>
    <w:rsid w:val="7DC9D217"/>
    <w:rsid w:val="7DCBC2DD"/>
    <w:rsid w:val="7DCD1154"/>
    <w:rsid w:val="7DCDBED2"/>
    <w:rsid w:val="7DCFB2D4"/>
    <w:rsid w:val="7DD55E0E"/>
    <w:rsid w:val="7DD6522A"/>
    <w:rsid w:val="7DD7C218"/>
    <w:rsid w:val="7DDDBD89"/>
    <w:rsid w:val="7DDF8D35"/>
    <w:rsid w:val="7DDFC91E"/>
    <w:rsid w:val="7DE9D01E"/>
    <w:rsid w:val="7DEFACB5"/>
    <w:rsid w:val="7DF4CB74"/>
    <w:rsid w:val="7DF534D4"/>
    <w:rsid w:val="7DF72334"/>
    <w:rsid w:val="7DF9AF4E"/>
    <w:rsid w:val="7DFB3F2A"/>
    <w:rsid w:val="7DFB5F2C"/>
    <w:rsid w:val="7DFC760E"/>
    <w:rsid w:val="7DFD5AC4"/>
    <w:rsid w:val="7DFD5CB6"/>
    <w:rsid w:val="7DFDA2DA"/>
    <w:rsid w:val="7DFDAFFE"/>
    <w:rsid w:val="7DFE08F0"/>
    <w:rsid w:val="7DFF016C"/>
    <w:rsid w:val="7DFF1D82"/>
    <w:rsid w:val="7DFF258A"/>
    <w:rsid w:val="7DFF30F2"/>
    <w:rsid w:val="7DFF4530"/>
    <w:rsid w:val="7DFF8C3B"/>
    <w:rsid w:val="7DFF9E02"/>
    <w:rsid w:val="7DFFBCEA"/>
    <w:rsid w:val="7DFFBD3B"/>
    <w:rsid w:val="7E139297"/>
    <w:rsid w:val="7E17D869"/>
    <w:rsid w:val="7E3E847A"/>
    <w:rsid w:val="7E5FB258"/>
    <w:rsid w:val="7E673F22"/>
    <w:rsid w:val="7E6A4CD1"/>
    <w:rsid w:val="7E6F3CE7"/>
    <w:rsid w:val="7E6F5A28"/>
    <w:rsid w:val="7E6FBDEF"/>
    <w:rsid w:val="7E7E1C35"/>
    <w:rsid w:val="7E7E6965"/>
    <w:rsid w:val="7E7F17A7"/>
    <w:rsid w:val="7E7F5C65"/>
    <w:rsid w:val="7E8714A8"/>
    <w:rsid w:val="7E9E089A"/>
    <w:rsid w:val="7E9E8415"/>
    <w:rsid w:val="7EAE314F"/>
    <w:rsid w:val="7EAE5A8C"/>
    <w:rsid w:val="7EAFE118"/>
    <w:rsid w:val="7EB7A502"/>
    <w:rsid w:val="7EBB6746"/>
    <w:rsid w:val="7EBC92F8"/>
    <w:rsid w:val="7EBE8F22"/>
    <w:rsid w:val="7EBF916B"/>
    <w:rsid w:val="7EBFECC4"/>
    <w:rsid w:val="7EC30336"/>
    <w:rsid w:val="7ECDAE3C"/>
    <w:rsid w:val="7ECF251B"/>
    <w:rsid w:val="7ECF6DB8"/>
    <w:rsid w:val="7ED03D8E"/>
    <w:rsid w:val="7ED72037"/>
    <w:rsid w:val="7ED79677"/>
    <w:rsid w:val="7ED7A05C"/>
    <w:rsid w:val="7ED7A4D6"/>
    <w:rsid w:val="7EDBA9E0"/>
    <w:rsid w:val="7EDE4A4A"/>
    <w:rsid w:val="7EDF18B4"/>
    <w:rsid w:val="7EDF2B55"/>
    <w:rsid w:val="7EDF884B"/>
    <w:rsid w:val="7EDFC0C7"/>
    <w:rsid w:val="7EDFEB71"/>
    <w:rsid w:val="7EE73A14"/>
    <w:rsid w:val="7EE7B2EA"/>
    <w:rsid w:val="7EE940B0"/>
    <w:rsid w:val="7EEB993B"/>
    <w:rsid w:val="7EEF8C90"/>
    <w:rsid w:val="7EEFB767"/>
    <w:rsid w:val="7EEFF2D1"/>
    <w:rsid w:val="7EF5492E"/>
    <w:rsid w:val="7EF5589C"/>
    <w:rsid w:val="7EF61E03"/>
    <w:rsid w:val="7EF65E5A"/>
    <w:rsid w:val="7EF786B9"/>
    <w:rsid w:val="7EF7B2EA"/>
    <w:rsid w:val="7EF7D69F"/>
    <w:rsid w:val="7EF7FB0F"/>
    <w:rsid w:val="7EF97D32"/>
    <w:rsid w:val="7EF990FB"/>
    <w:rsid w:val="7EFB8432"/>
    <w:rsid w:val="7EFE3908"/>
    <w:rsid w:val="7EFE4747"/>
    <w:rsid w:val="7EFE606C"/>
    <w:rsid w:val="7EFEE350"/>
    <w:rsid w:val="7EFF0FE6"/>
    <w:rsid w:val="7EFF1F19"/>
    <w:rsid w:val="7EFF31BD"/>
    <w:rsid w:val="7EFF4FEF"/>
    <w:rsid w:val="7EFF8388"/>
    <w:rsid w:val="7EFFCD6D"/>
    <w:rsid w:val="7EFFDA73"/>
    <w:rsid w:val="7EFFFF7F"/>
    <w:rsid w:val="7F048303"/>
    <w:rsid w:val="7F0A3BC9"/>
    <w:rsid w:val="7F1F4BD5"/>
    <w:rsid w:val="7F2B5FC4"/>
    <w:rsid w:val="7F2B7866"/>
    <w:rsid w:val="7F2DF995"/>
    <w:rsid w:val="7F2F981D"/>
    <w:rsid w:val="7F33BCE1"/>
    <w:rsid w:val="7F372964"/>
    <w:rsid w:val="7F37B0EE"/>
    <w:rsid w:val="7F3D2C7A"/>
    <w:rsid w:val="7F3DD3CA"/>
    <w:rsid w:val="7F3E233D"/>
    <w:rsid w:val="7F3F545C"/>
    <w:rsid w:val="7F3FA6AE"/>
    <w:rsid w:val="7F42E8ED"/>
    <w:rsid w:val="7F47EB9E"/>
    <w:rsid w:val="7F4E8028"/>
    <w:rsid w:val="7F4FF58C"/>
    <w:rsid w:val="7F53C1EF"/>
    <w:rsid w:val="7F57BFA1"/>
    <w:rsid w:val="7F5E26B3"/>
    <w:rsid w:val="7F66FCDF"/>
    <w:rsid w:val="7F675095"/>
    <w:rsid w:val="7F6E3106"/>
    <w:rsid w:val="7F6E3A39"/>
    <w:rsid w:val="7F6E9294"/>
    <w:rsid w:val="7F6FB209"/>
    <w:rsid w:val="7F736958"/>
    <w:rsid w:val="7F75C375"/>
    <w:rsid w:val="7F773751"/>
    <w:rsid w:val="7F77A2FD"/>
    <w:rsid w:val="7F78C995"/>
    <w:rsid w:val="7F79C214"/>
    <w:rsid w:val="7F7C3D0C"/>
    <w:rsid w:val="7F7CAEAF"/>
    <w:rsid w:val="7F7CCEFD"/>
    <w:rsid w:val="7F7D734F"/>
    <w:rsid w:val="7F7D8138"/>
    <w:rsid w:val="7F7D9CB9"/>
    <w:rsid w:val="7F7DBB45"/>
    <w:rsid w:val="7F7DBDAF"/>
    <w:rsid w:val="7F7DED8A"/>
    <w:rsid w:val="7F7E67E0"/>
    <w:rsid w:val="7F7F0B1D"/>
    <w:rsid w:val="7F7F1DD9"/>
    <w:rsid w:val="7F7F251D"/>
    <w:rsid w:val="7F7F2D1A"/>
    <w:rsid w:val="7F7F7036"/>
    <w:rsid w:val="7F7F747C"/>
    <w:rsid w:val="7F7F865F"/>
    <w:rsid w:val="7F7F8EAF"/>
    <w:rsid w:val="7F7F8F6F"/>
    <w:rsid w:val="7F7F9692"/>
    <w:rsid w:val="7F7FAE53"/>
    <w:rsid w:val="7F7FD95F"/>
    <w:rsid w:val="7F7FE531"/>
    <w:rsid w:val="7F7FFE69"/>
    <w:rsid w:val="7F7FFF69"/>
    <w:rsid w:val="7F8320DA"/>
    <w:rsid w:val="7F8F7C94"/>
    <w:rsid w:val="7F93E584"/>
    <w:rsid w:val="7F976E13"/>
    <w:rsid w:val="7F979E45"/>
    <w:rsid w:val="7F9FBBAE"/>
    <w:rsid w:val="7F9FFA1A"/>
    <w:rsid w:val="7FA9FFFB"/>
    <w:rsid w:val="7FAB6291"/>
    <w:rsid w:val="7FAB9202"/>
    <w:rsid w:val="7FAE1BF8"/>
    <w:rsid w:val="7FAEE6F7"/>
    <w:rsid w:val="7FAF21A5"/>
    <w:rsid w:val="7FB6AD48"/>
    <w:rsid w:val="7FB78D32"/>
    <w:rsid w:val="7FBB16A6"/>
    <w:rsid w:val="7FBB9DFF"/>
    <w:rsid w:val="7FBBC901"/>
    <w:rsid w:val="7FBCB5A8"/>
    <w:rsid w:val="7FBD3CCE"/>
    <w:rsid w:val="7FBDDADC"/>
    <w:rsid w:val="7FBE850E"/>
    <w:rsid w:val="7FBE8550"/>
    <w:rsid w:val="7FBEAB82"/>
    <w:rsid w:val="7FBF5547"/>
    <w:rsid w:val="7FBF5A35"/>
    <w:rsid w:val="7FBF70F2"/>
    <w:rsid w:val="7FBF8270"/>
    <w:rsid w:val="7FBFAAE4"/>
    <w:rsid w:val="7FC39960"/>
    <w:rsid w:val="7FC60A36"/>
    <w:rsid w:val="7FC68CB4"/>
    <w:rsid w:val="7FC8FF0F"/>
    <w:rsid w:val="7FCC6DB7"/>
    <w:rsid w:val="7FCD070E"/>
    <w:rsid w:val="7FCEB111"/>
    <w:rsid w:val="7FCF00A3"/>
    <w:rsid w:val="7FCF27D3"/>
    <w:rsid w:val="7FCF385E"/>
    <w:rsid w:val="7FCF428F"/>
    <w:rsid w:val="7FCFA50D"/>
    <w:rsid w:val="7FCFA89C"/>
    <w:rsid w:val="7FCFAB36"/>
    <w:rsid w:val="7FCFC2F4"/>
    <w:rsid w:val="7FD5D5E9"/>
    <w:rsid w:val="7FD6CE8C"/>
    <w:rsid w:val="7FD6E9B7"/>
    <w:rsid w:val="7FD97BC7"/>
    <w:rsid w:val="7FDB166E"/>
    <w:rsid w:val="7FDB3CD0"/>
    <w:rsid w:val="7FDB3ED0"/>
    <w:rsid w:val="7FDD1BA9"/>
    <w:rsid w:val="7FDD4C75"/>
    <w:rsid w:val="7FDD52CE"/>
    <w:rsid w:val="7FDD6FA6"/>
    <w:rsid w:val="7FDD8AA2"/>
    <w:rsid w:val="7FDD9585"/>
    <w:rsid w:val="7FDE25B7"/>
    <w:rsid w:val="7FDEA797"/>
    <w:rsid w:val="7FDF002A"/>
    <w:rsid w:val="7FDF5125"/>
    <w:rsid w:val="7FDF7FAB"/>
    <w:rsid w:val="7FDF8CB9"/>
    <w:rsid w:val="7FDFBDBE"/>
    <w:rsid w:val="7FDFC654"/>
    <w:rsid w:val="7FE3FBF5"/>
    <w:rsid w:val="7FE6A587"/>
    <w:rsid w:val="7FE70CFD"/>
    <w:rsid w:val="7FE74FBD"/>
    <w:rsid w:val="7FE9B6CC"/>
    <w:rsid w:val="7FEB6D4C"/>
    <w:rsid w:val="7FEBD6B0"/>
    <w:rsid w:val="7FEC77E4"/>
    <w:rsid w:val="7FEC816F"/>
    <w:rsid w:val="7FED233D"/>
    <w:rsid w:val="7FED6A3D"/>
    <w:rsid w:val="7FED7C4D"/>
    <w:rsid w:val="7FED8AE7"/>
    <w:rsid w:val="7FED99BF"/>
    <w:rsid w:val="7FEDAE09"/>
    <w:rsid w:val="7FEF25E4"/>
    <w:rsid w:val="7FEF25F0"/>
    <w:rsid w:val="7FEFA955"/>
    <w:rsid w:val="7FEFDA06"/>
    <w:rsid w:val="7FEFE590"/>
    <w:rsid w:val="7FEFF4A1"/>
    <w:rsid w:val="7FEFF97D"/>
    <w:rsid w:val="7FEFFDF6"/>
    <w:rsid w:val="7FF017C7"/>
    <w:rsid w:val="7FF10805"/>
    <w:rsid w:val="7FF11FBE"/>
    <w:rsid w:val="7FF15F79"/>
    <w:rsid w:val="7FF39A9F"/>
    <w:rsid w:val="7FF3D090"/>
    <w:rsid w:val="7FF4FDDE"/>
    <w:rsid w:val="7FF5293C"/>
    <w:rsid w:val="7FF52E3F"/>
    <w:rsid w:val="7FF6BE8B"/>
    <w:rsid w:val="7FF71806"/>
    <w:rsid w:val="7FF7248C"/>
    <w:rsid w:val="7FF784B6"/>
    <w:rsid w:val="7FF793DE"/>
    <w:rsid w:val="7FF79593"/>
    <w:rsid w:val="7FF79BDE"/>
    <w:rsid w:val="7FF7A220"/>
    <w:rsid w:val="7FF7ABE0"/>
    <w:rsid w:val="7FF7C91F"/>
    <w:rsid w:val="7FF7EB67"/>
    <w:rsid w:val="7FF7FF4E"/>
    <w:rsid w:val="7FF89F3B"/>
    <w:rsid w:val="7FF8A6C9"/>
    <w:rsid w:val="7FF90E77"/>
    <w:rsid w:val="7FF94AF0"/>
    <w:rsid w:val="7FF9B7FC"/>
    <w:rsid w:val="7FF9C7A0"/>
    <w:rsid w:val="7FFA0E2E"/>
    <w:rsid w:val="7FFAD2EE"/>
    <w:rsid w:val="7FFAE32D"/>
    <w:rsid w:val="7FFAF552"/>
    <w:rsid w:val="7FFB15FB"/>
    <w:rsid w:val="7FFB206C"/>
    <w:rsid w:val="7FFB2A20"/>
    <w:rsid w:val="7FFB4B9A"/>
    <w:rsid w:val="7FFB5CA1"/>
    <w:rsid w:val="7FFB683C"/>
    <w:rsid w:val="7FFB73B0"/>
    <w:rsid w:val="7FFB982C"/>
    <w:rsid w:val="7FFBB68B"/>
    <w:rsid w:val="7FFBE010"/>
    <w:rsid w:val="7FFBE06C"/>
    <w:rsid w:val="7FFBF94C"/>
    <w:rsid w:val="7FFCF29E"/>
    <w:rsid w:val="7FFD0075"/>
    <w:rsid w:val="7FFD1BBB"/>
    <w:rsid w:val="7FFD20BC"/>
    <w:rsid w:val="7FFD2C49"/>
    <w:rsid w:val="7FFD8039"/>
    <w:rsid w:val="7FFDAFC5"/>
    <w:rsid w:val="7FFDB0A1"/>
    <w:rsid w:val="7FFDE659"/>
    <w:rsid w:val="7FFE2269"/>
    <w:rsid w:val="7FFE4477"/>
    <w:rsid w:val="7FFE526C"/>
    <w:rsid w:val="7FFE820F"/>
    <w:rsid w:val="7FFEB032"/>
    <w:rsid w:val="7FFEC90A"/>
    <w:rsid w:val="7FFF0BCB"/>
    <w:rsid w:val="7FFF15E7"/>
    <w:rsid w:val="7FFF1BCD"/>
    <w:rsid w:val="7FFF2484"/>
    <w:rsid w:val="7FFF2D64"/>
    <w:rsid w:val="7FFF2F5E"/>
    <w:rsid w:val="7FFF3B92"/>
    <w:rsid w:val="7FFF3D4C"/>
    <w:rsid w:val="7FFF3F2E"/>
    <w:rsid w:val="7FFF4C85"/>
    <w:rsid w:val="7FFF51F9"/>
    <w:rsid w:val="7FFF626B"/>
    <w:rsid w:val="7FFF6F68"/>
    <w:rsid w:val="7FFF7045"/>
    <w:rsid w:val="7FFF85F2"/>
    <w:rsid w:val="7FFF865F"/>
    <w:rsid w:val="7FFF87DC"/>
    <w:rsid w:val="7FFF94B9"/>
    <w:rsid w:val="7FFF9ADD"/>
    <w:rsid w:val="7FFFAACC"/>
    <w:rsid w:val="7FFFB1E5"/>
    <w:rsid w:val="7FFFB24F"/>
    <w:rsid w:val="7FFFB395"/>
    <w:rsid w:val="7FFFCC81"/>
    <w:rsid w:val="7FFFD181"/>
    <w:rsid w:val="7FFFEBBF"/>
    <w:rsid w:val="7FFFF0C6"/>
    <w:rsid w:val="873EED54"/>
    <w:rsid w:val="87DCF29A"/>
    <w:rsid w:val="87FFC813"/>
    <w:rsid w:val="89CF661E"/>
    <w:rsid w:val="89DAAA78"/>
    <w:rsid w:val="8BD944AB"/>
    <w:rsid w:val="8BF97752"/>
    <w:rsid w:val="8BFB731C"/>
    <w:rsid w:val="8BFEF3C5"/>
    <w:rsid w:val="8DDBE575"/>
    <w:rsid w:val="8F6BDF7C"/>
    <w:rsid w:val="8F9BC33D"/>
    <w:rsid w:val="907FDAE1"/>
    <w:rsid w:val="918DDF9B"/>
    <w:rsid w:val="92E2798A"/>
    <w:rsid w:val="937A8100"/>
    <w:rsid w:val="938F3EB3"/>
    <w:rsid w:val="93AE4D6E"/>
    <w:rsid w:val="93F51A5C"/>
    <w:rsid w:val="93FD6B8B"/>
    <w:rsid w:val="94BF0785"/>
    <w:rsid w:val="94D7862D"/>
    <w:rsid w:val="956FC5C6"/>
    <w:rsid w:val="95774C83"/>
    <w:rsid w:val="957F7D32"/>
    <w:rsid w:val="959FCC3A"/>
    <w:rsid w:val="95CFD979"/>
    <w:rsid w:val="95F650D4"/>
    <w:rsid w:val="96C3445F"/>
    <w:rsid w:val="96EEB90F"/>
    <w:rsid w:val="96F0F487"/>
    <w:rsid w:val="96FD6CBE"/>
    <w:rsid w:val="9747CA7E"/>
    <w:rsid w:val="97CF1E8B"/>
    <w:rsid w:val="97D917B6"/>
    <w:rsid w:val="97DC6A54"/>
    <w:rsid w:val="97F7CC9C"/>
    <w:rsid w:val="97FFF2B3"/>
    <w:rsid w:val="98FF5386"/>
    <w:rsid w:val="994A85BC"/>
    <w:rsid w:val="99FB8561"/>
    <w:rsid w:val="9AEF5AEE"/>
    <w:rsid w:val="9AFE55EE"/>
    <w:rsid w:val="9B7648C2"/>
    <w:rsid w:val="9B9F4CAC"/>
    <w:rsid w:val="9BAF1E7C"/>
    <w:rsid w:val="9BBB22E9"/>
    <w:rsid w:val="9BBEE516"/>
    <w:rsid w:val="9BF2703E"/>
    <w:rsid w:val="9BF98675"/>
    <w:rsid w:val="9BFC1C5A"/>
    <w:rsid w:val="9C7BD439"/>
    <w:rsid w:val="9CE60A4B"/>
    <w:rsid w:val="9D6BF1BB"/>
    <w:rsid w:val="9D7D01BD"/>
    <w:rsid w:val="9DBDFEC6"/>
    <w:rsid w:val="9DC68306"/>
    <w:rsid w:val="9DDB9723"/>
    <w:rsid w:val="9DDBA585"/>
    <w:rsid w:val="9DDBB17D"/>
    <w:rsid w:val="9DF601EA"/>
    <w:rsid w:val="9DFA1133"/>
    <w:rsid w:val="9E3DBE46"/>
    <w:rsid w:val="9EAEBE5D"/>
    <w:rsid w:val="9EBB88D0"/>
    <w:rsid w:val="9ED71413"/>
    <w:rsid w:val="9EFEF769"/>
    <w:rsid w:val="9EFF5B36"/>
    <w:rsid w:val="9F57A57D"/>
    <w:rsid w:val="9F7FB847"/>
    <w:rsid w:val="9F8F080F"/>
    <w:rsid w:val="9F9FC7C1"/>
    <w:rsid w:val="9FBE809E"/>
    <w:rsid w:val="9FBECA4E"/>
    <w:rsid w:val="9FBFEF04"/>
    <w:rsid w:val="9FD5E775"/>
    <w:rsid w:val="9FD934CA"/>
    <w:rsid w:val="9FE76FBE"/>
    <w:rsid w:val="9FEF3B3B"/>
    <w:rsid w:val="9FEF7FBC"/>
    <w:rsid w:val="9FEFC8F4"/>
    <w:rsid w:val="9FF5717B"/>
    <w:rsid w:val="9FF73B4F"/>
    <w:rsid w:val="9FF961D8"/>
    <w:rsid w:val="9FF9E550"/>
    <w:rsid w:val="9FFC660B"/>
    <w:rsid w:val="9FFD64F3"/>
    <w:rsid w:val="9FFF064E"/>
    <w:rsid w:val="9FFF3F1B"/>
    <w:rsid w:val="A0FE1ACA"/>
    <w:rsid w:val="A2DB7920"/>
    <w:rsid w:val="A3CFF2DB"/>
    <w:rsid w:val="A5AE3BB6"/>
    <w:rsid w:val="A5F9AD3D"/>
    <w:rsid w:val="A736BBD9"/>
    <w:rsid w:val="A737B9C6"/>
    <w:rsid w:val="A7B49A96"/>
    <w:rsid w:val="A7DB6FD1"/>
    <w:rsid w:val="A7EAB95F"/>
    <w:rsid w:val="A7EDAB5A"/>
    <w:rsid w:val="A7FBF5BB"/>
    <w:rsid w:val="A7FFE25C"/>
    <w:rsid w:val="A8F75A37"/>
    <w:rsid w:val="A99F3C5A"/>
    <w:rsid w:val="A9DF0B8D"/>
    <w:rsid w:val="A9EE7655"/>
    <w:rsid w:val="AAEE8A52"/>
    <w:rsid w:val="AB57C581"/>
    <w:rsid w:val="AB7D4E22"/>
    <w:rsid w:val="ABA5395F"/>
    <w:rsid w:val="ABB86985"/>
    <w:rsid w:val="ABDE55D5"/>
    <w:rsid w:val="ABE5D992"/>
    <w:rsid w:val="ABE7BD91"/>
    <w:rsid w:val="ABF07C32"/>
    <w:rsid w:val="ABFFC497"/>
    <w:rsid w:val="ABFFEDBD"/>
    <w:rsid w:val="AC7F703E"/>
    <w:rsid w:val="ACDE75F7"/>
    <w:rsid w:val="ACFBF5C7"/>
    <w:rsid w:val="ACFF0B95"/>
    <w:rsid w:val="ACFF8B54"/>
    <w:rsid w:val="AD1F2D9B"/>
    <w:rsid w:val="ADDDC650"/>
    <w:rsid w:val="ADEF39EF"/>
    <w:rsid w:val="ADF19122"/>
    <w:rsid w:val="ADF6C8F2"/>
    <w:rsid w:val="ADF85328"/>
    <w:rsid w:val="ADFF8598"/>
    <w:rsid w:val="ADFF95E1"/>
    <w:rsid w:val="ADFFE8FC"/>
    <w:rsid w:val="AEDF7AC6"/>
    <w:rsid w:val="AEFDD02C"/>
    <w:rsid w:val="AEFE3CED"/>
    <w:rsid w:val="AEFF2F66"/>
    <w:rsid w:val="AEFF58DA"/>
    <w:rsid w:val="AF292D19"/>
    <w:rsid w:val="AF5FB9AC"/>
    <w:rsid w:val="AFAE6DB5"/>
    <w:rsid w:val="AFAF9289"/>
    <w:rsid w:val="AFB7C1F0"/>
    <w:rsid w:val="AFBD75B1"/>
    <w:rsid w:val="AFD35FBE"/>
    <w:rsid w:val="AFDB86FF"/>
    <w:rsid w:val="AFDE6674"/>
    <w:rsid w:val="AFE15162"/>
    <w:rsid w:val="AFE72863"/>
    <w:rsid w:val="AFE77B59"/>
    <w:rsid w:val="AFEC0F14"/>
    <w:rsid w:val="AFEE47DF"/>
    <w:rsid w:val="AFEF1707"/>
    <w:rsid w:val="AFF61038"/>
    <w:rsid w:val="AFFB359F"/>
    <w:rsid w:val="AFFD6153"/>
    <w:rsid w:val="AFFDB330"/>
    <w:rsid w:val="AFFF6D1F"/>
    <w:rsid w:val="B0BF0781"/>
    <w:rsid w:val="B0E3EBB8"/>
    <w:rsid w:val="B157D3C1"/>
    <w:rsid w:val="B1776C75"/>
    <w:rsid w:val="B1B3A0AE"/>
    <w:rsid w:val="B1DB92AF"/>
    <w:rsid w:val="B27CA282"/>
    <w:rsid w:val="B2FF0854"/>
    <w:rsid w:val="B33F0BFA"/>
    <w:rsid w:val="B3591637"/>
    <w:rsid w:val="B35FB5C1"/>
    <w:rsid w:val="B36F1485"/>
    <w:rsid w:val="B37BA858"/>
    <w:rsid w:val="B3BF178C"/>
    <w:rsid w:val="B3DD05A4"/>
    <w:rsid w:val="B3EB6B63"/>
    <w:rsid w:val="B3F695FD"/>
    <w:rsid w:val="B3FE5918"/>
    <w:rsid w:val="B4775C83"/>
    <w:rsid w:val="B4BFBAED"/>
    <w:rsid w:val="B57E5FD1"/>
    <w:rsid w:val="B57F5C4B"/>
    <w:rsid w:val="B5B7FD2D"/>
    <w:rsid w:val="B5BFC699"/>
    <w:rsid w:val="B5DBFD41"/>
    <w:rsid w:val="B5DF52DD"/>
    <w:rsid w:val="B5E3D77A"/>
    <w:rsid w:val="B5FA71C9"/>
    <w:rsid w:val="B5FDD78C"/>
    <w:rsid w:val="B5FDFBAE"/>
    <w:rsid w:val="B5FE458E"/>
    <w:rsid w:val="B67EA43E"/>
    <w:rsid w:val="B693F787"/>
    <w:rsid w:val="B6AF3710"/>
    <w:rsid w:val="B6CFE6B3"/>
    <w:rsid w:val="B6D47940"/>
    <w:rsid w:val="B6DFE440"/>
    <w:rsid w:val="B6F63F50"/>
    <w:rsid w:val="B6F6EAD6"/>
    <w:rsid w:val="B6F961E0"/>
    <w:rsid w:val="B715DD23"/>
    <w:rsid w:val="B76B4344"/>
    <w:rsid w:val="B76CA301"/>
    <w:rsid w:val="B76F0BC4"/>
    <w:rsid w:val="B7730FDE"/>
    <w:rsid w:val="B77DBD5F"/>
    <w:rsid w:val="B79FE631"/>
    <w:rsid w:val="B7B70FE5"/>
    <w:rsid w:val="B7B7485D"/>
    <w:rsid w:val="B7B7CD22"/>
    <w:rsid w:val="B7BC1B7D"/>
    <w:rsid w:val="B7BF7C88"/>
    <w:rsid w:val="B7BFACAA"/>
    <w:rsid w:val="B7CBF629"/>
    <w:rsid w:val="B7DEA20F"/>
    <w:rsid w:val="B7DFBF52"/>
    <w:rsid w:val="B7EBD0F0"/>
    <w:rsid w:val="B7F004BA"/>
    <w:rsid w:val="B7F34FFD"/>
    <w:rsid w:val="B7F6C8E2"/>
    <w:rsid w:val="B7FB549D"/>
    <w:rsid w:val="B7FF7A76"/>
    <w:rsid w:val="B87FAAEB"/>
    <w:rsid w:val="B8E99C32"/>
    <w:rsid w:val="B8EE6FC8"/>
    <w:rsid w:val="B91EC048"/>
    <w:rsid w:val="B9776267"/>
    <w:rsid w:val="B9D8AF6C"/>
    <w:rsid w:val="B9DF482A"/>
    <w:rsid w:val="B9EA65F4"/>
    <w:rsid w:val="BA42647E"/>
    <w:rsid w:val="BAB72852"/>
    <w:rsid w:val="BABB9A3F"/>
    <w:rsid w:val="BABF4E9F"/>
    <w:rsid w:val="BABFF481"/>
    <w:rsid w:val="BADFC57D"/>
    <w:rsid w:val="BAEB7DE3"/>
    <w:rsid w:val="BAEF3365"/>
    <w:rsid w:val="BAFB0422"/>
    <w:rsid w:val="BAFF147D"/>
    <w:rsid w:val="BAFFDDCF"/>
    <w:rsid w:val="BAFFFEE5"/>
    <w:rsid w:val="BB3B40D3"/>
    <w:rsid w:val="BB4DD2C2"/>
    <w:rsid w:val="BB5D0A35"/>
    <w:rsid w:val="BB5F1751"/>
    <w:rsid w:val="BB71F0C2"/>
    <w:rsid w:val="BB7FCB98"/>
    <w:rsid w:val="BB7FCF59"/>
    <w:rsid w:val="BB86A244"/>
    <w:rsid w:val="BB8B7F20"/>
    <w:rsid w:val="BBBBA3E9"/>
    <w:rsid w:val="BBBF54A6"/>
    <w:rsid w:val="BBBF67D0"/>
    <w:rsid w:val="BBBFAB0E"/>
    <w:rsid w:val="BBBFF188"/>
    <w:rsid w:val="BBCF23E3"/>
    <w:rsid w:val="BBDD86BF"/>
    <w:rsid w:val="BBDF2D8B"/>
    <w:rsid w:val="BBE39F18"/>
    <w:rsid w:val="BBEB62C3"/>
    <w:rsid w:val="BBEB6C40"/>
    <w:rsid w:val="BBEE33D6"/>
    <w:rsid w:val="BBEFB1B1"/>
    <w:rsid w:val="BBF94560"/>
    <w:rsid w:val="BBFB6E31"/>
    <w:rsid w:val="BBFBCCC9"/>
    <w:rsid w:val="BBFD051F"/>
    <w:rsid w:val="BBFE283F"/>
    <w:rsid w:val="BC6F52FA"/>
    <w:rsid w:val="BC7784D5"/>
    <w:rsid w:val="BC7F724E"/>
    <w:rsid w:val="BCADB561"/>
    <w:rsid w:val="BCBF2C29"/>
    <w:rsid w:val="BCBFC739"/>
    <w:rsid w:val="BCC5AD82"/>
    <w:rsid w:val="BCCF17F0"/>
    <w:rsid w:val="BCE5F7EB"/>
    <w:rsid w:val="BCFB3585"/>
    <w:rsid w:val="BCFEE69D"/>
    <w:rsid w:val="BCFF4EA1"/>
    <w:rsid w:val="BD130507"/>
    <w:rsid w:val="BD3BDB7C"/>
    <w:rsid w:val="BD5B6464"/>
    <w:rsid w:val="BD5CA279"/>
    <w:rsid w:val="BD66B9C8"/>
    <w:rsid w:val="BD779866"/>
    <w:rsid w:val="BD7856A4"/>
    <w:rsid w:val="BD79E615"/>
    <w:rsid w:val="BD7E0038"/>
    <w:rsid w:val="BDAF2144"/>
    <w:rsid w:val="BDBB97F9"/>
    <w:rsid w:val="BDDBB3FC"/>
    <w:rsid w:val="BDDBD99F"/>
    <w:rsid w:val="BDDF13B7"/>
    <w:rsid w:val="BDE7CA31"/>
    <w:rsid w:val="BDEF7552"/>
    <w:rsid w:val="BDF3A240"/>
    <w:rsid w:val="BDF647B2"/>
    <w:rsid w:val="BDF78C4F"/>
    <w:rsid w:val="BDF97722"/>
    <w:rsid w:val="BDFA9619"/>
    <w:rsid w:val="BDFD5EF3"/>
    <w:rsid w:val="BDFD98E1"/>
    <w:rsid w:val="BDFE82F6"/>
    <w:rsid w:val="BDFEAC95"/>
    <w:rsid w:val="BDFFE10D"/>
    <w:rsid w:val="BE385F97"/>
    <w:rsid w:val="BE570EEF"/>
    <w:rsid w:val="BE57F10E"/>
    <w:rsid w:val="BE5D3836"/>
    <w:rsid w:val="BE7F6ED0"/>
    <w:rsid w:val="BE973CDA"/>
    <w:rsid w:val="BE9C5592"/>
    <w:rsid w:val="BE9F2971"/>
    <w:rsid w:val="BEA7B28B"/>
    <w:rsid w:val="BEB98B55"/>
    <w:rsid w:val="BECF3603"/>
    <w:rsid w:val="BEDDC68B"/>
    <w:rsid w:val="BEDFDE11"/>
    <w:rsid w:val="BEEE518A"/>
    <w:rsid w:val="BEF5CAF9"/>
    <w:rsid w:val="BEF62C24"/>
    <w:rsid w:val="BEF6F4C7"/>
    <w:rsid w:val="BEFC0644"/>
    <w:rsid w:val="BEFD20A2"/>
    <w:rsid w:val="BEFDFB62"/>
    <w:rsid w:val="BEFF5543"/>
    <w:rsid w:val="BF1FF295"/>
    <w:rsid w:val="BF2F8163"/>
    <w:rsid w:val="BF376F6D"/>
    <w:rsid w:val="BF37DF9F"/>
    <w:rsid w:val="BF3BC53D"/>
    <w:rsid w:val="BF43E3B5"/>
    <w:rsid w:val="BF5C2D36"/>
    <w:rsid w:val="BF6B88A0"/>
    <w:rsid w:val="BF6BFA36"/>
    <w:rsid w:val="BF6F53ED"/>
    <w:rsid w:val="BF75ECDF"/>
    <w:rsid w:val="BF774E02"/>
    <w:rsid w:val="BF77C7D5"/>
    <w:rsid w:val="BF7AA5ED"/>
    <w:rsid w:val="BF7D3073"/>
    <w:rsid w:val="BF7D5657"/>
    <w:rsid w:val="BF7F1823"/>
    <w:rsid w:val="BF7FC3D2"/>
    <w:rsid w:val="BF7FD4C5"/>
    <w:rsid w:val="BF7FD5C6"/>
    <w:rsid w:val="BF8E2F0C"/>
    <w:rsid w:val="BF9FFB1C"/>
    <w:rsid w:val="BFA64BF3"/>
    <w:rsid w:val="BFA730D0"/>
    <w:rsid w:val="BFA7556E"/>
    <w:rsid w:val="BFA9459C"/>
    <w:rsid w:val="BFAA4552"/>
    <w:rsid w:val="BFAD6890"/>
    <w:rsid w:val="BFAE4229"/>
    <w:rsid w:val="BFAF17F3"/>
    <w:rsid w:val="BFB116BC"/>
    <w:rsid w:val="BFBBE77F"/>
    <w:rsid w:val="BFBC2D2A"/>
    <w:rsid w:val="BFBE6760"/>
    <w:rsid w:val="BFBEE491"/>
    <w:rsid w:val="BFBF001A"/>
    <w:rsid w:val="BFBF325D"/>
    <w:rsid w:val="BFBF6754"/>
    <w:rsid w:val="BFBFB415"/>
    <w:rsid w:val="BFBFC707"/>
    <w:rsid w:val="BFC39682"/>
    <w:rsid w:val="BFC594F0"/>
    <w:rsid w:val="BFCAA2FD"/>
    <w:rsid w:val="BFD7B48C"/>
    <w:rsid w:val="BFDB1A89"/>
    <w:rsid w:val="BFDF8759"/>
    <w:rsid w:val="BFDFC60E"/>
    <w:rsid w:val="BFDFE66A"/>
    <w:rsid w:val="BFE78567"/>
    <w:rsid w:val="BFEB1459"/>
    <w:rsid w:val="BFEBC281"/>
    <w:rsid w:val="BFEBF978"/>
    <w:rsid w:val="BFECCCEB"/>
    <w:rsid w:val="BFED2508"/>
    <w:rsid w:val="BFF371A4"/>
    <w:rsid w:val="BFF3AC6F"/>
    <w:rsid w:val="BFF4A338"/>
    <w:rsid w:val="BFF5706B"/>
    <w:rsid w:val="BFF6F09D"/>
    <w:rsid w:val="BFF7BC60"/>
    <w:rsid w:val="BFFAFCC4"/>
    <w:rsid w:val="BFFC836D"/>
    <w:rsid w:val="BFFD2E87"/>
    <w:rsid w:val="BFFD2EE3"/>
    <w:rsid w:val="BFFD4540"/>
    <w:rsid w:val="BFFD7FE0"/>
    <w:rsid w:val="BFFDEEFD"/>
    <w:rsid w:val="BFFE9099"/>
    <w:rsid w:val="BFFEB4DA"/>
    <w:rsid w:val="BFFF10ED"/>
    <w:rsid w:val="BFFF1ED0"/>
    <w:rsid w:val="BFFF3BEA"/>
    <w:rsid w:val="BFFF80F1"/>
    <w:rsid w:val="BFFF9017"/>
    <w:rsid w:val="BFFFA641"/>
    <w:rsid w:val="BFFFADE0"/>
    <w:rsid w:val="BFFFB58D"/>
    <w:rsid w:val="C2DA123C"/>
    <w:rsid w:val="C37B52A7"/>
    <w:rsid w:val="C3BF356E"/>
    <w:rsid w:val="C3EE89A5"/>
    <w:rsid w:val="C3FD2EAC"/>
    <w:rsid w:val="C3FDC9D9"/>
    <w:rsid w:val="C4BB2487"/>
    <w:rsid w:val="C5BB738D"/>
    <w:rsid w:val="C5BF6BEB"/>
    <w:rsid w:val="C75DE629"/>
    <w:rsid w:val="C77922B5"/>
    <w:rsid w:val="C7ADAFCE"/>
    <w:rsid w:val="C7CE9133"/>
    <w:rsid w:val="C7D67CF3"/>
    <w:rsid w:val="C7DFDA65"/>
    <w:rsid w:val="C7EEEDE2"/>
    <w:rsid w:val="C7F64548"/>
    <w:rsid w:val="C7F795A5"/>
    <w:rsid w:val="C7FAC086"/>
    <w:rsid w:val="C7FF8986"/>
    <w:rsid w:val="C9EF5EE2"/>
    <w:rsid w:val="C9FCDE26"/>
    <w:rsid w:val="C9FF50CA"/>
    <w:rsid w:val="CAED8FC9"/>
    <w:rsid w:val="CAF310B2"/>
    <w:rsid w:val="CAFB357B"/>
    <w:rsid w:val="CAFC23F8"/>
    <w:rsid w:val="CB5F559B"/>
    <w:rsid w:val="CB775746"/>
    <w:rsid w:val="CBBE7C5D"/>
    <w:rsid w:val="CBC32A97"/>
    <w:rsid w:val="CBD77F2D"/>
    <w:rsid w:val="CBDF3B11"/>
    <w:rsid w:val="CBEE7F5D"/>
    <w:rsid w:val="CBF1C272"/>
    <w:rsid w:val="CBFF9044"/>
    <w:rsid w:val="CBFFEF5A"/>
    <w:rsid w:val="CCBD2AC2"/>
    <w:rsid w:val="CCC64514"/>
    <w:rsid w:val="CCDF41AC"/>
    <w:rsid w:val="CD5B87C3"/>
    <w:rsid w:val="CDABA2FF"/>
    <w:rsid w:val="CDCFE3E3"/>
    <w:rsid w:val="CDEB1B1F"/>
    <w:rsid w:val="CDF92EF5"/>
    <w:rsid w:val="CDFF697E"/>
    <w:rsid w:val="CE3E69D4"/>
    <w:rsid w:val="CEBD0855"/>
    <w:rsid w:val="CEFB5776"/>
    <w:rsid w:val="CEFF2600"/>
    <w:rsid w:val="CEFF31CE"/>
    <w:rsid w:val="CEFFE12A"/>
    <w:rsid w:val="CF3601C3"/>
    <w:rsid w:val="CF4B53ED"/>
    <w:rsid w:val="CF563553"/>
    <w:rsid w:val="CF672159"/>
    <w:rsid w:val="CF6E7BF6"/>
    <w:rsid w:val="CF768E7C"/>
    <w:rsid w:val="CF7BBBA8"/>
    <w:rsid w:val="CF7EDC54"/>
    <w:rsid w:val="CF7EE850"/>
    <w:rsid w:val="CF7EF5C5"/>
    <w:rsid w:val="CFAB0EB2"/>
    <w:rsid w:val="CFB37684"/>
    <w:rsid w:val="CFB762F1"/>
    <w:rsid w:val="CFB97BA3"/>
    <w:rsid w:val="CFBBB271"/>
    <w:rsid w:val="CFBFBD09"/>
    <w:rsid w:val="CFBFC69A"/>
    <w:rsid w:val="CFCDF623"/>
    <w:rsid w:val="CFDE3492"/>
    <w:rsid w:val="CFDF6620"/>
    <w:rsid w:val="CFEB14BE"/>
    <w:rsid w:val="CFEFB553"/>
    <w:rsid w:val="CFF5F1E3"/>
    <w:rsid w:val="CFF6A2FC"/>
    <w:rsid w:val="CFFC58E8"/>
    <w:rsid w:val="CFFD436F"/>
    <w:rsid w:val="CFFED4AB"/>
    <w:rsid w:val="CFFFF25A"/>
    <w:rsid w:val="D15D75E1"/>
    <w:rsid w:val="D17FB9F6"/>
    <w:rsid w:val="D1FB1AF0"/>
    <w:rsid w:val="D1FB8624"/>
    <w:rsid w:val="D2BFF5F0"/>
    <w:rsid w:val="D2FF48E5"/>
    <w:rsid w:val="D33E4F44"/>
    <w:rsid w:val="D35F33FD"/>
    <w:rsid w:val="D37B449E"/>
    <w:rsid w:val="D37DCF76"/>
    <w:rsid w:val="D3B388ED"/>
    <w:rsid w:val="D3BB6D8C"/>
    <w:rsid w:val="D3D75C8A"/>
    <w:rsid w:val="D3D9A050"/>
    <w:rsid w:val="D3E338AE"/>
    <w:rsid w:val="D3E60539"/>
    <w:rsid w:val="D3FBD13A"/>
    <w:rsid w:val="D46B86C2"/>
    <w:rsid w:val="D4BB6A3A"/>
    <w:rsid w:val="D51F5847"/>
    <w:rsid w:val="D566FAC3"/>
    <w:rsid w:val="D5BFA8AA"/>
    <w:rsid w:val="D5D65546"/>
    <w:rsid w:val="D5D6C0A5"/>
    <w:rsid w:val="D5F94332"/>
    <w:rsid w:val="D5FF32E3"/>
    <w:rsid w:val="D6D791AA"/>
    <w:rsid w:val="D6EEF164"/>
    <w:rsid w:val="D6F68BF6"/>
    <w:rsid w:val="D6F7A587"/>
    <w:rsid w:val="D6FB702F"/>
    <w:rsid w:val="D6FCD2DE"/>
    <w:rsid w:val="D6FF5756"/>
    <w:rsid w:val="D72EAA01"/>
    <w:rsid w:val="D75D4785"/>
    <w:rsid w:val="D77A55D6"/>
    <w:rsid w:val="D77F842E"/>
    <w:rsid w:val="D79BD39D"/>
    <w:rsid w:val="D79F1F2C"/>
    <w:rsid w:val="D79FE27F"/>
    <w:rsid w:val="D7B78539"/>
    <w:rsid w:val="D7DA19DB"/>
    <w:rsid w:val="D7DCF8F2"/>
    <w:rsid w:val="D7DD8BFC"/>
    <w:rsid w:val="D7E6F511"/>
    <w:rsid w:val="D7EEE34C"/>
    <w:rsid w:val="D7F503AC"/>
    <w:rsid w:val="D7FBAB6E"/>
    <w:rsid w:val="D7FC3AD9"/>
    <w:rsid w:val="D7FDC405"/>
    <w:rsid w:val="D7FE2086"/>
    <w:rsid w:val="D7FE4880"/>
    <w:rsid w:val="D7FF0D3C"/>
    <w:rsid w:val="D7FF552F"/>
    <w:rsid w:val="D7FFB200"/>
    <w:rsid w:val="D87AA116"/>
    <w:rsid w:val="D8FFD242"/>
    <w:rsid w:val="D97A11AD"/>
    <w:rsid w:val="D99F717F"/>
    <w:rsid w:val="D9BB705B"/>
    <w:rsid w:val="D9DD5F28"/>
    <w:rsid w:val="D9FB58E8"/>
    <w:rsid w:val="D9FF03E9"/>
    <w:rsid w:val="D9FFBC1F"/>
    <w:rsid w:val="DAB3E18B"/>
    <w:rsid w:val="DABD63C1"/>
    <w:rsid w:val="DABF3B46"/>
    <w:rsid w:val="DADEB03D"/>
    <w:rsid w:val="DADF1F70"/>
    <w:rsid w:val="DAF5DF9C"/>
    <w:rsid w:val="DAF7B44D"/>
    <w:rsid w:val="DAF93EC4"/>
    <w:rsid w:val="DAF9B3F6"/>
    <w:rsid w:val="DAFF557A"/>
    <w:rsid w:val="DAFFD547"/>
    <w:rsid w:val="DAFFEEB5"/>
    <w:rsid w:val="DAFFFBEF"/>
    <w:rsid w:val="DB1B2BF8"/>
    <w:rsid w:val="DB1FBEBA"/>
    <w:rsid w:val="DB3ABA91"/>
    <w:rsid w:val="DB5E8346"/>
    <w:rsid w:val="DB7D0174"/>
    <w:rsid w:val="DB7D16DD"/>
    <w:rsid w:val="DB7E6CD7"/>
    <w:rsid w:val="DB7FAFE8"/>
    <w:rsid w:val="DB91C967"/>
    <w:rsid w:val="DB9D3AD0"/>
    <w:rsid w:val="DB9EC98E"/>
    <w:rsid w:val="DBBEA679"/>
    <w:rsid w:val="DBBF74A1"/>
    <w:rsid w:val="DBBFAFE8"/>
    <w:rsid w:val="DBD67919"/>
    <w:rsid w:val="DBDD9450"/>
    <w:rsid w:val="DBDFD3BB"/>
    <w:rsid w:val="DBEC4636"/>
    <w:rsid w:val="DBED09FA"/>
    <w:rsid w:val="DBEF7CDC"/>
    <w:rsid w:val="DBF6B579"/>
    <w:rsid w:val="DBF7777D"/>
    <w:rsid w:val="DBFB463C"/>
    <w:rsid w:val="DBFEF45E"/>
    <w:rsid w:val="DBFFA32B"/>
    <w:rsid w:val="DC9BB4D3"/>
    <w:rsid w:val="DCBB1A8F"/>
    <w:rsid w:val="DCE353E6"/>
    <w:rsid w:val="DCFFA542"/>
    <w:rsid w:val="DD3FB0B4"/>
    <w:rsid w:val="DD5FC70D"/>
    <w:rsid w:val="DD6FD04D"/>
    <w:rsid w:val="DD8DB4AB"/>
    <w:rsid w:val="DD96382F"/>
    <w:rsid w:val="DDAB6536"/>
    <w:rsid w:val="DDB48759"/>
    <w:rsid w:val="DDBB1FBF"/>
    <w:rsid w:val="DDBFC73F"/>
    <w:rsid w:val="DDD44C5A"/>
    <w:rsid w:val="DDDCF240"/>
    <w:rsid w:val="DDE31DC9"/>
    <w:rsid w:val="DDEB681D"/>
    <w:rsid w:val="DDF37DA0"/>
    <w:rsid w:val="DDF60FF0"/>
    <w:rsid w:val="DDF725CE"/>
    <w:rsid w:val="DE47D04B"/>
    <w:rsid w:val="DE742963"/>
    <w:rsid w:val="DE7E782C"/>
    <w:rsid w:val="DE7FC971"/>
    <w:rsid w:val="DE9F1838"/>
    <w:rsid w:val="DEAF3E9A"/>
    <w:rsid w:val="DEB59581"/>
    <w:rsid w:val="DEBD7EB9"/>
    <w:rsid w:val="DEC5D90F"/>
    <w:rsid w:val="DED5DBB1"/>
    <w:rsid w:val="DED90125"/>
    <w:rsid w:val="DED9BAD4"/>
    <w:rsid w:val="DEDA04F3"/>
    <w:rsid w:val="DEDB8AF4"/>
    <w:rsid w:val="DEDD3783"/>
    <w:rsid w:val="DEDED5A1"/>
    <w:rsid w:val="DEDF4B67"/>
    <w:rsid w:val="DEE43641"/>
    <w:rsid w:val="DEEB3D68"/>
    <w:rsid w:val="DEF6BBCC"/>
    <w:rsid w:val="DEF98610"/>
    <w:rsid w:val="DEFBF373"/>
    <w:rsid w:val="DEFF6BBA"/>
    <w:rsid w:val="DEFF7A71"/>
    <w:rsid w:val="DEFFBE04"/>
    <w:rsid w:val="DF1707C9"/>
    <w:rsid w:val="DF35BF8C"/>
    <w:rsid w:val="DF368501"/>
    <w:rsid w:val="DF3A1D27"/>
    <w:rsid w:val="DF3AA24E"/>
    <w:rsid w:val="DF3ACB5A"/>
    <w:rsid w:val="DF3BA071"/>
    <w:rsid w:val="DF3F9DB4"/>
    <w:rsid w:val="DF4D61C7"/>
    <w:rsid w:val="DF57F370"/>
    <w:rsid w:val="DF5C1852"/>
    <w:rsid w:val="DF5F50B4"/>
    <w:rsid w:val="DF6310D1"/>
    <w:rsid w:val="DF63633F"/>
    <w:rsid w:val="DF7579C7"/>
    <w:rsid w:val="DF7DC859"/>
    <w:rsid w:val="DF7F3783"/>
    <w:rsid w:val="DF7FCF29"/>
    <w:rsid w:val="DF8DC613"/>
    <w:rsid w:val="DF94EF06"/>
    <w:rsid w:val="DF9EB4A3"/>
    <w:rsid w:val="DFAE4858"/>
    <w:rsid w:val="DFAEA27B"/>
    <w:rsid w:val="DFAF4275"/>
    <w:rsid w:val="DFBB3618"/>
    <w:rsid w:val="DFBD169E"/>
    <w:rsid w:val="DFBDF918"/>
    <w:rsid w:val="DFBF8829"/>
    <w:rsid w:val="DFBF94C2"/>
    <w:rsid w:val="DFBFF976"/>
    <w:rsid w:val="DFBFFE5E"/>
    <w:rsid w:val="DFCBC021"/>
    <w:rsid w:val="DFD56059"/>
    <w:rsid w:val="DFD6DC75"/>
    <w:rsid w:val="DFD7186B"/>
    <w:rsid w:val="DFD79673"/>
    <w:rsid w:val="DFDC0085"/>
    <w:rsid w:val="DFDD0D6C"/>
    <w:rsid w:val="DFDD2EA8"/>
    <w:rsid w:val="DFDF1D7F"/>
    <w:rsid w:val="DFDF4D5A"/>
    <w:rsid w:val="DFE6CDD7"/>
    <w:rsid w:val="DFE72698"/>
    <w:rsid w:val="DFE823A3"/>
    <w:rsid w:val="DFEDEF54"/>
    <w:rsid w:val="DFEE24A0"/>
    <w:rsid w:val="DFEE51C8"/>
    <w:rsid w:val="DFEEA5A1"/>
    <w:rsid w:val="DFEEF13E"/>
    <w:rsid w:val="DFEF1A85"/>
    <w:rsid w:val="DFEFA7B0"/>
    <w:rsid w:val="DFF55070"/>
    <w:rsid w:val="DFF59C8D"/>
    <w:rsid w:val="DFF71074"/>
    <w:rsid w:val="DFF7514C"/>
    <w:rsid w:val="DFF77A81"/>
    <w:rsid w:val="DFFA93BA"/>
    <w:rsid w:val="DFFB67D1"/>
    <w:rsid w:val="DFFB9938"/>
    <w:rsid w:val="DFFBA677"/>
    <w:rsid w:val="DFFBB663"/>
    <w:rsid w:val="DFFD794F"/>
    <w:rsid w:val="DFFD9A4F"/>
    <w:rsid w:val="DFFDAD51"/>
    <w:rsid w:val="DFFEFC6A"/>
    <w:rsid w:val="DFFF09F2"/>
    <w:rsid w:val="DFFF0BCF"/>
    <w:rsid w:val="DFFF2930"/>
    <w:rsid w:val="DFFF3DF3"/>
    <w:rsid w:val="DFFF4380"/>
    <w:rsid w:val="DFFF6091"/>
    <w:rsid w:val="DFFF6DEE"/>
    <w:rsid w:val="DFFF713F"/>
    <w:rsid w:val="DFFF7935"/>
    <w:rsid w:val="DFFF7F28"/>
    <w:rsid w:val="DFFFC178"/>
    <w:rsid w:val="DFFFCCC4"/>
    <w:rsid w:val="DFFFEECD"/>
    <w:rsid w:val="E1BF6521"/>
    <w:rsid w:val="E1BFD591"/>
    <w:rsid w:val="E1EC30C9"/>
    <w:rsid w:val="E25F69F8"/>
    <w:rsid w:val="E2A21EE2"/>
    <w:rsid w:val="E2D9FA08"/>
    <w:rsid w:val="E2FF8FEF"/>
    <w:rsid w:val="E38B6167"/>
    <w:rsid w:val="E3AF97A6"/>
    <w:rsid w:val="E3DE0B07"/>
    <w:rsid w:val="E3DEE0AD"/>
    <w:rsid w:val="E3F6C653"/>
    <w:rsid w:val="E3FBA889"/>
    <w:rsid w:val="E3FE0EFA"/>
    <w:rsid w:val="E3FE3BC3"/>
    <w:rsid w:val="E3FE793A"/>
    <w:rsid w:val="E3FF6F2F"/>
    <w:rsid w:val="E3FF8137"/>
    <w:rsid w:val="E4BF0D65"/>
    <w:rsid w:val="E4D74C23"/>
    <w:rsid w:val="E4E95026"/>
    <w:rsid w:val="E539244A"/>
    <w:rsid w:val="E542AA3D"/>
    <w:rsid w:val="E5777FB5"/>
    <w:rsid w:val="E5BF8965"/>
    <w:rsid w:val="E5D906BE"/>
    <w:rsid w:val="E5DFA967"/>
    <w:rsid w:val="E5E31093"/>
    <w:rsid w:val="E5EFD835"/>
    <w:rsid w:val="E5F78427"/>
    <w:rsid w:val="E67F3215"/>
    <w:rsid w:val="E67FC6FF"/>
    <w:rsid w:val="E697CB54"/>
    <w:rsid w:val="E6AF2BED"/>
    <w:rsid w:val="E6DFEB45"/>
    <w:rsid w:val="E7258D34"/>
    <w:rsid w:val="E73F1186"/>
    <w:rsid w:val="E74F861C"/>
    <w:rsid w:val="E75F9DF1"/>
    <w:rsid w:val="E76DED7C"/>
    <w:rsid w:val="E79344F4"/>
    <w:rsid w:val="E79537CB"/>
    <w:rsid w:val="E79C91CE"/>
    <w:rsid w:val="E7BB5724"/>
    <w:rsid w:val="E7D7E002"/>
    <w:rsid w:val="E7DFAFC8"/>
    <w:rsid w:val="E7EFAC6B"/>
    <w:rsid w:val="E7EFE58F"/>
    <w:rsid w:val="E7F53D31"/>
    <w:rsid w:val="E7F5CF6A"/>
    <w:rsid w:val="E7F793A5"/>
    <w:rsid w:val="E7FA4671"/>
    <w:rsid w:val="E7FC9A79"/>
    <w:rsid w:val="E7FDF966"/>
    <w:rsid w:val="E7FE6C79"/>
    <w:rsid w:val="E7FE7B80"/>
    <w:rsid w:val="E7FF66B7"/>
    <w:rsid w:val="E7FF96EE"/>
    <w:rsid w:val="E7FFF1A2"/>
    <w:rsid w:val="E87BD056"/>
    <w:rsid w:val="E87F1B45"/>
    <w:rsid w:val="E8DBB879"/>
    <w:rsid w:val="E8FF1EDB"/>
    <w:rsid w:val="E8FFF7CB"/>
    <w:rsid w:val="E93F5C5C"/>
    <w:rsid w:val="E97710B6"/>
    <w:rsid w:val="E9775CB6"/>
    <w:rsid w:val="E97FD7F1"/>
    <w:rsid w:val="E98A43EA"/>
    <w:rsid w:val="E9A66D66"/>
    <w:rsid w:val="E9BB6629"/>
    <w:rsid w:val="E9BF0478"/>
    <w:rsid w:val="E9D3E484"/>
    <w:rsid w:val="E9F5642C"/>
    <w:rsid w:val="E9FA5544"/>
    <w:rsid w:val="E9FB8F39"/>
    <w:rsid w:val="EAA35EF4"/>
    <w:rsid w:val="EABBF29A"/>
    <w:rsid w:val="EADBF246"/>
    <w:rsid w:val="EAE7CB1E"/>
    <w:rsid w:val="EAF7841F"/>
    <w:rsid w:val="EB3EC681"/>
    <w:rsid w:val="EB576EFF"/>
    <w:rsid w:val="EB6BC985"/>
    <w:rsid w:val="EB7D391A"/>
    <w:rsid w:val="EB7F2D88"/>
    <w:rsid w:val="EB7F7C2E"/>
    <w:rsid w:val="EB7F843A"/>
    <w:rsid w:val="EB9A78D9"/>
    <w:rsid w:val="EB9D0629"/>
    <w:rsid w:val="EB9F4811"/>
    <w:rsid w:val="EBB4F058"/>
    <w:rsid w:val="EBB5B5C4"/>
    <w:rsid w:val="EBBF3BA1"/>
    <w:rsid w:val="EBBF83E6"/>
    <w:rsid w:val="EBBFA71F"/>
    <w:rsid w:val="EBBFEAD2"/>
    <w:rsid w:val="EBCFF5A3"/>
    <w:rsid w:val="EBD349D6"/>
    <w:rsid w:val="EBDB2692"/>
    <w:rsid w:val="EBDDD8F6"/>
    <w:rsid w:val="EBDF897E"/>
    <w:rsid w:val="EBE777CB"/>
    <w:rsid w:val="EBE9A23E"/>
    <w:rsid w:val="EBEDA77E"/>
    <w:rsid w:val="EBEEFF37"/>
    <w:rsid w:val="EBEF3F4C"/>
    <w:rsid w:val="EBEFA7F0"/>
    <w:rsid w:val="EBEFD8EF"/>
    <w:rsid w:val="EBF5BF5B"/>
    <w:rsid w:val="EBF76B70"/>
    <w:rsid w:val="EBF92185"/>
    <w:rsid w:val="EBFD6CBB"/>
    <w:rsid w:val="EBFE2967"/>
    <w:rsid w:val="EBFE4FE9"/>
    <w:rsid w:val="EBFF1E45"/>
    <w:rsid w:val="EBFF500D"/>
    <w:rsid w:val="EBFF59EA"/>
    <w:rsid w:val="EBFF6520"/>
    <w:rsid w:val="EBFF65A9"/>
    <w:rsid w:val="EBFF86C5"/>
    <w:rsid w:val="EBFF93E6"/>
    <w:rsid w:val="EBFFDE34"/>
    <w:rsid w:val="EC6AC267"/>
    <w:rsid w:val="EC7F9127"/>
    <w:rsid w:val="ECBF8A89"/>
    <w:rsid w:val="ECEBDAEB"/>
    <w:rsid w:val="ECFB9757"/>
    <w:rsid w:val="ECFF4B4A"/>
    <w:rsid w:val="ED7E346F"/>
    <w:rsid w:val="ED7F2763"/>
    <w:rsid w:val="ED7F38B7"/>
    <w:rsid w:val="ED9F9891"/>
    <w:rsid w:val="EDAD4F1D"/>
    <w:rsid w:val="EDB36194"/>
    <w:rsid w:val="EDB73978"/>
    <w:rsid w:val="EDB74182"/>
    <w:rsid w:val="EDBF026E"/>
    <w:rsid w:val="EDCF2F01"/>
    <w:rsid w:val="EDDE796E"/>
    <w:rsid w:val="EDE33836"/>
    <w:rsid w:val="EDE56113"/>
    <w:rsid w:val="EDF392FC"/>
    <w:rsid w:val="EDF55161"/>
    <w:rsid w:val="EDFB8E3B"/>
    <w:rsid w:val="EDFDA551"/>
    <w:rsid w:val="EDFEDB2B"/>
    <w:rsid w:val="EDFF1A0E"/>
    <w:rsid w:val="EDFFA7D5"/>
    <w:rsid w:val="EDFFC05C"/>
    <w:rsid w:val="EE3BDFBA"/>
    <w:rsid w:val="EE3DD561"/>
    <w:rsid w:val="EE4F3622"/>
    <w:rsid w:val="EE6F32CB"/>
    <w:rsid w:val="EE87CC4C"/>
    <w:rsid w:val="EE9F37D6"/>
    <w:rsid w:val="EE9F6C86"/>
    <w:rsid w:val="EEB7BB97"/>
    <w:rsid w:val="EEBF2776"/>
    <w:rsid w:val="EEBF6303"/>
    <w:rsid w:val="EEBFF820"/>
    <w:rsid w:val="EEC71EDA"/>
    <w:rsid w:val="EECF3E5B"/>
    <w:rsid w:val="EEDE7992"/>
    <w:rsid w:val="EEDEFA68"/>
    <w:rsid w:val="EEEAC828"/>
    <w:rsid w:val="EEF7159E"/>
    <w:rsid w:val="EEF8A50C"/>
    <w:rsid w:val="EEFD2B41"/>
    <w:rsid w:val="EEFE3D11"/>
    <w:rsid w:val="EF2EC475"/>
    <w:rsid w:val="EF2ED5B5"/>
    <w:rsid w:val="EF36E4A8"/>
    <w:rsid w:val="EF3D0BBF"/>
    <w:rsid w:val="EF3E5325"/>
    <w:rsid w:val="EF3FC9A0"/>
    <w:rsid w:val="EF4D8231"/>
    <w:rsid w:val="EF57E4AF"/>
    <w:rsid w:val="EF5ADFB7"/>
    <w:rsid w:val="EF5EBB79"/>
    <w:rsid w:val="EF5F411F"/>
    <w:rsid w:val="EF5F7A9A"/>
    <w:rsid w:val="EF5F8356"/>
    <w:rsid w:val="EF5FDCB9"/>
    <w:rsid w:val="EF68BD4A"/>
    <w:rsid w:val="EF6F0A7B"/>
    <w:rsid w:val="EF6F422E"/>
    <w:rsid w:val="EF736994"/>
    <w:rsid w:val="EF771E39"/>
    <w:rsid w:val="EF793671"/>
    <w:rsid w:val="EF7E184A"/>
    <w:rsid w:val="EF7E209C"/>
    <w:rsid w:val="EF7E7B31"/>
    <w:rsid w:val="EF7F2197"/>
    <w:rsid w:val="EF7F40F6"/>
    <w:rsid w:val="EF7F46A0"/>
    <w:rsid w:val="EF7FB4A9"/>
    <w:rsid w:val="EF835B01"/>
    <w:rsid w:val="EF8766E0"/>
    <w:rsid w:val="EF9A4B24"/>
    <w:rsid w:val="EFAD2EDE"/>
    <w:rsid w:val="EFAE5A0D"/>
    <w:rsid w:val="EFB73314"/>
    <w:rsid w:val="EFB75708"/>
    <w:rsid w:val="EFB7C5FA"/>
    <w:rsid w:val="EFBB3775"/>
    <w:rsid w:val="EFBB6FE7"/>
    <w:rsid w:val="EFBBD8C5"/>
    <w:rsid w:val="EFBD9292"/>
    <w:rsid w:val="EFBDBB49"/>
    <w:rsid w:val="EFBDDA40"/>
    <w:rsid w:val="EFBF2EB9"/>
    <w:rsid w:val="EFBF4062"/>
    <w:rsid w:val="EFBFF901"/>
    <w:rsid w:val="EFBFFD4D"/>
    <w:rsid w:val="EFCF597B"/>
    <w:rsid w:val="EFD60356"/>
    <w:rsid w:val="EFD74A56"/>
    <w:rsid w:val="EFD81C62"/>
    <w:rsid w:val="EFDBE162"/>
    <w:rsid w:val="EFDC2F37"/>
    <w:rsid w:val="EFDD259D"/>
    <w:rsid w:val="EFDDC367"/>
    <w:rsid w:val="EFDEF237"/>
    <w:rsid w:val="EFDF4F7B"/>
    <w:rsid w:val="EFDF5A90"/>
    <w:rsid w:val="EFE377F5"/>
    <w:rsid w:val="EFE555A7"/>
    <w:rsid w:val="EFE5FA28"/>
    <w:rsid w:val="EFE73A18"/>
    <w:rsid w:val="EFE77A3A"/>
    <w:rsid w:val="EFEA8EA0"/>
    <w:rsid w:val="EFED3444"/>
    <w:rsid w:val="EFEDA8D2"/>
    <w:rsid w:val="EFEDCBF6"/>
    <w:rsid w:val="EFEF1B8E"/>
    <w:rsid w:val="EFEFDABA"/>
    <w:rsid w:val="EFF33A04"/>
    <w:rsid w:val="EFF34C50"/>
    <w:rsid w:val="EFF35429"/>
    <w:rsid w:val="EFF4847B"/>
    <w:rsid w:val="EFF4DA6C"/>
    <w:rsid w:val="EFF6AC75"/>
    <w:rsid w:val="EFF77031"/>
    <w:rsid w:val="EFF7889F"/>
    <w:rsid w:val="EFF7E0FB"/>
    <w:rsid w:val="EFF94139"/>
    <w:rsid w:val="EFFBB7A1"/>
    <w:rsid w:val="EFFBBA46"/>
    <w:rsid w:val="EFFBFA7F"/>
    <w:rsid w:val="EFFC62FB"/>
    <w:rsid w:val="EFFD5659"/>
    <w:rsid w:val="EFFD80B6"/>
    <w:rsid w:val="EFFDAD13"/>
    <w:rsid w:val="EFFE4BF2"/>
    <w:rsid w:val="EFFE747A"/>
    <w:rsid w:val="EFFF3CAA"/>
    <w:rsid w:val="EFFF7B21"/>
    <w:rsid w:val="EFFF9553"/>
    <w:rsid w:val="EFFFA46B"/>
    <w:rsid w:val="EFFFBE5E"/>
    <w:rsid w:val="EFFFC14C"/>
    <w:rsid w:val="EFFFC9E3"/>
    <w:rsid w:val="EFFFDBD0"/>
    <w:rsid w:val="EFFFDCCB"/>
    <w:rsid w:val="EFFFE010"/>
    <w:rsid w:val="EFFFE4EB"/>
    <w:rsid w:val="EFFFF79A"/>
    <w:rsid w:val="F0BA33A0"/>
    <w:rsid w:val="F0EF9E22"/>
    <w:rsid w:val="F0FB5BFF"/>
    <w:rsid w:val="F15951C3"/>
    <w:rsid w:val="F170A07B"/>
    <w:rsid w:val="F17FDA48"/>
    <w:rsid w:val="F1BF43CC"/>
    <w:rsid w:val="F1D3BE39"/>
    <w:rsid w:val="F1DE9E38"/>
    <w:rsid w:val="F1EBDA15"/>
    <w:rsid w:val="F1ED852F"/>
    <w:rsid w:val="F1F12F77"/>
    <w:rsid w:val="F2742C88"/>
    <w:rsid w:val="F277D364"/>
    <w:rsid w:val="F28714C2"/>
    <w:rsid w:val="F2BDFCB6"/>
    <w:rsid w:val="F2CCBA18"/>
    <w:rsid w:val="F2CF46C8"/>
    <w:rsid w:val="F2DAD1B5"/>
    <w:rsid w:val="F2F5C068"/>
    <w:rsid w:val="F2FEF118"/>
    <w:rsid w:val="F326047E"/>
    <w:rsid w:val="F33A1E48"/>
    <w:rsid w:val="F33F9C26"/>
    <w:rsid w:val="F369810E"/>
    <w:rsid w:val="F36DADB5"/>
    <w:rsid w:val="F37BF4A5"/>
    <w:rsid w:val="F37FC4FF"/>
    <w:rsid w:val="F3BA389B"/>
    <w:rsid w:val="F3BE8302"/>
    <w:rsid w:val="F3BF793B"/>
    <w:rsid w:val="F3C5EF71"/>
    <w:rsid w:val="F3CAB80B"/>
    <w:rsid w:val="F3CE5544"/>
    <w:rsid w:val="F3D5D740"/>
    <w:rsid w:val="F3DE9743"/>
    <w:rsid w:val="F3DF6270"/>
    <w:rsid w:val="F3E3C3FB"/>
    <w:rsid w:val="F3EF2D38"/>
    <w:rsid w:val="F3EF417D"/>
    <w:rsid w:val="F3EFF56B"/>
    <w:rsid w:val="F3F315CE"/>
    <w:rsid w:val="F3F78356"/>
    <w:rsid w:val="F3FA2DFD"/>
    <w:rsid w:val="F3FDD902"/>
    <w:rsid w:val="F3FE0E7E"/>
    <w:rsid w:val="F3FF7504"/>
    <w:rsid w:val="F4BF9868"/>
    <w:rsid w:val="F52FEC8F"/>
    <w:rsid w:val="F53B1D0A"/>
    <w:rsid w:val="F53CB22E"/>
    <w:rsid w:val="F55E8408"/>
    <w:rsid w:val="F575E1F4"/>
    <w:rsid w:val="F575E442"/>
    <w:rsid w:val="F57C0F04"/>
    <w:rsid w:val="F57E1B40"/>
    <w:rsid w:val="F57F66C3"/>
    <w:rsid w:val="F57F9F4A"/>
    <w:rsid w:val="F59D7682"/>
    <w:rsid w:val="F5AFD83A"/>
    <w:rsid w:val="F5BA521F"/>
    <w:rsid w:val="F5BBB9A2"/>
    <w:rsid w:val="F5BBF408"/>
    <w:rsid w:val="F5BF7824"/>
    <w:rsid w:val="F5BFCD5E"/>
    <w:rsid w:val="F5D81EBC"/>
    <w:rsid w:val="F5EDE571"/>
    <w:rsid w:val="F5F6CE21"/>
    <w:rsid w:val="F5F7926C"/>
    <w:rsid w:val="F5F7C8F5"/>
    <w:rsid w:val="F5FB8442"/>
    <w:rsid w:val="F5FF2D12"/>
    <w:rsid w:val="F5FF7A49"/>
    <w:rsid w:val="F5FFA527"/>
    <w:rsid w:val="F63F754A"/>
    <w:rsid w:val="F6573CFF"/>
    <w:rsid w:val="F65FD89E"/>
    <w:rsid w:val="F67E121D"/>
    <w:rsid w:val="F67F444F"/>
    <w:rsid w:val="F67FDD54"/>
    <w:rsid w:val="F6975B08"/>
    <w:rsid w:val="F69ABF84"/>
    <w:rsid w:val="F6AFA667"/>
    <w:rsid w:val="F6B3ACF5"/>
    <w:rsid w:val="F6B76294"/>
    <w:rsid w:val="F6B77DD7"/>
    <w:rsid w:val="F6DB442C"/>
    <w:rsid w:val="F6DE81B1"/>
    <w:rsid w:val="F6E737F4"/>
    <w:rsid w:val="F6E7CC33"/>
    <w:rsid w:val="F6EC48AB"/>
    <w:rsid w:val="F6ED42B1"/>
    <w:rsid w:val="F6EF00A0"/>
    <w:rsid w:val="F6EF3D95"/>
    <w:rsid w:val="F6EFC176"/>
    <w:rsid w:val="F6FAF9B8"/>
    <w:rsid w:val="F6FD712A"/>
    <w:rsid w:val="F6FFA613"/>
    <w:rsid w:val="F6FFAEA1"/>
    <w:rsid w:val="F72B3AB1"/>
    <w:rsid w:val="F73DC8EB"/>
    <w:rsid w:val="F73FD75C"/>
    <w:rsid w:val="F74FF4B0"/>
    <w:rsid w:val="F7570DF7"/>
    <w:rsid w:val="F75C02E0"/>
    <w:rsid w:val="F75E725B"/>
    <w:rsid w:val="F7660432"/>
    <w:rsid w:val="F7714A27"/>
    <w:rsid w:val="F7784C3C"/>
    <w:rsid w:val="F77B9768"/>
    <w:rsid w:val="F77BBD72"/>
    <w:rsid w:val="F77D0E69"/>
    <w:rsid w:val="F77E716D"/>
    <w:rsid w:val="F77E856D"/>
    <w:rsid w:val="F792B8C9"/>
    <w:rsid w:val="F7932012"/>
    <w:rsid w:val="F79E1833"/>
    <w:rsid w:val="F79FF07A"/>
    <w:rsid w:val="F7A369EE"/>
    <w:rsid w:val="F7A767F1"/>
    <w:rsid w:val="F7AD63A6"/>
    <w:rsid w:val="F7B0F4F5"/>
    <w:rsid w:val="F7B11B3B"/>
    <w:rsid w:val="F7B3F0C1"/>
    <w:rsid w:val="F7B72C97"/>
    <w:rsid w:val="F7B8B0AD"/>
    <w:rsid w:val="F7BA9AE6"/>
    <w:rsid w:val="F7BB7142"/>
    <w:rsid w:val="F7BDDA0C"/>
    <w:rsid w:val="F7BE78D3"/>
    <w:rsid w:val="F7BEC072"/>
    <w:rsid w:val="F7BFA6BE"/>
    <w:rsid w:val="F7BFB845"/>
    <w:rsid w:val="F7BFF3FC"/>
    <w:rsid w:val="F7BFFA6D"/>
    <w:rsid w:val="F7C5F690"/>
    <w:rsid w:val="F7C9DB89"/>
    <w:rsid w:val="F7CB7CC2"/>
    <w:rsid w:val="F7CF53E9"/>
    <w:rsid w:val="F7CF72A6"/>
    <w:rsid w:val="F7CFDE12"/>
    <w:rsid w:val="F7D7DF63"/>
    <w:rsid w:val="F7DA2A8C"/>
    <w:rsid w:val="F7DBE964"/>
    <w:rsid w:val="F7DCDA5B"/>
    <w:rsid w:val="F7DDA564"/>
    <w:rsid w:val="F7DF1F92"/>
    <w:rsid w:val="F7DF4E54"/>
    <w:rsid w:val="F7DF635D"/>
    <w:rsid w:val="F7E7825A"/>
    <w:rsid w:val="F7EBDB30"/>
    <w:rsid w:val="F7EF064B"/>
    <w:rsid w:val="F7EF6332"/>
    <w:rsid w:val="F7EF8671"/>
    <w:rsid w:val="F7EFC2A9"/>
    <w:rsid w:val="F7EFF46A"/>
    <w:rsid w:val="F7F22454"/>
    <w:rsid w:val="F7F735F5"/>
    <w:rsid w:val="F7F741ED"/>
    <w:rsid w:val="F7F76D9A"/>
    <w:rsid w:val="F7F97EAC"/>
    <w:rsid w:val="F7F9FEDB"/>
    <w:rsid w:val="F7FB3E03"/>
    <w:rsid w:val="F7FB608D"/>
    <w:rsid w:val="F7FB8DE0"/>
    <w:rsid w:val="F7FBC0AB"/>
    <w:rsid w:val="F7FD3042"/>
    <w:rsid w:val="F7FD5CE1"/>
    <w:rsid w:val="F7FDBABC"/>
    <w:rsid w:val="F7FE12ED"/>
    <w:rsid w:val="F7FE3808"/>
    <w:rsid w:val="F7FE4E4D"/>
    <w:rsid w:val="F7FF09F4"/>
    <w:rsid w:val="F7FF597E"/>
    <w:rsid w:val="F7FF8635"/>
    <w:rsid w:val="F7FF941B"/>
    <w:rsid w:val="F7FFAA46"/>
    <w:rsid w:val="F7FFE11E"/>
    <w:rsid w:val="F7FFFC32"/>
    <w:rsid w:val="F7FFFD3A"/>
    <w:rsid w:val="F81F64C4"/>
    <w:rsid w:val="F8501FDB"/>
    <w:rsid w:val="F877B05B"/>
    <w:rsid w:val="F8AB427C"/>
    <w:rsid w:val="F8AEAC2D"/>
    <w:rsid w:val="F8BF36D7"/>
    <w:rsid w:val="F8FB0B67"/>
    <w:rsid w:val="F8FEB714"/>
    <w:rsid w:val="F8FF9933"/>
    <w:rsid w:val="F8FFCEA2"/>
    <w:rsid w:val="F90E8526"/>
    <w:rsid w:val="F9361850"/>
    <w:rsid w:val="F937CF10"/>
    <w:rsid w:val="F93E6834"/>
    <w:rsid w:val="F94A2BFB"/>
    <w:rsid w:val="F95A14D1"/>
    <w:rsid w:val="F9695CBE"/>
    <w:rsid w:val="F96B1F19"/>
    <w:rsid w:val="F9779402"/>
    <w:rsid w:val="F97FFFC0"/>
    <w:rsid w:val="F9AC08C3"/>
    <w:rsid w:val="F9B33F16"/>
    <w:rsid w:val="F9DF1DB9"/>
    <w:rsid w:val="F9DF7DF2"/>
    <w:rsid w:val="F9E632AC"/>
    <w:rsid w:val="F9EBFDB2"/>
    <w:rsid w:val="F9ED66A1"/>
    <w:rsid w:val="F9EF90B4"/>
    <w:rsid w:val="F9EF9206"/>
    <w:rsid w:val="F9F58503"/>
    <w:rsid w:val="F9F6C04D"/>
    <w:rsid w:val="F9F7540A"/>
    <w:rsid w:val="F9F937FE"/>
    <w:rsid w:val="F9FC8205"/>
    <w:rsid w:val="F9FD8200"/>
    <w:rsid w:val="F9FDB8C8"/>
    <w:rsid w:val="F9FE45C0"/>
    <w:rsid w:val="F9FF1F5A"/>
    <w:rsid w:val="F9FF6ABC"/>
    <w:rsid w:val="F9FF9563"/>
    <w:rsid w:val="F9FFA2B2"/>
    <w:rsid w:val="F9FFDC44"/>
    <w:rsid w:val="FA2F6211"/>
    <w:rsid w:val="FA5D3F3C"/>
    <w:rsid w:val="FA65333F"/>
    <w:rsid w:val="FA6E512B"/>
    <w:rsid w:val="FA6F8419"/>
    <w:rsid w:val="FA77178E"/>
    <w:rsid w:val="FAB3C5AF"/>
    <w:rsid w:val="FAD72A43"/>
    <w:rsid w:val="FADBA9D0"/>
    <w:rsid w:val="FAE9D160"/>
    <w:rsid w:val="FAF6DDBF"/>
    <w:rsid w:val="FAFB17B1"/>
    <w:rsid w:val="FAFF2788"/>
    <w:rsid w:val="FAFF287B"/>
    <w:rsid w:val="FAFF7635"/>
    <w:rsid w:val="FAFFBCF4"/>
    <w:rsid w:val="FB1FDD4E"/>
    <w:rsid w:val="FB37373A"/>
    <w:rsid w:val="FB47D620"/>
    <w:rsid w:val="FB579E6E"/>
    <w:rsid w:val="FB5B7CF1"/>
    <w:rsid w:val="FB5DA1ED"/>
    <w:rsid w:val="FB5E7897"/>
    <w:rsid w:val="FB5F328F"/>
    <w:rsid w:val="FB6BAFE9"/>
    <w:rsid w:val="FB6D6B46"/>
    <w:rsid w:val="FB7B9AFD"/>
    <w:rsid w:val="FB7F7C33"/>
    <w:rsid w:val="FB7FD0CB"/>
    <w:rsid w:val="FB7FDD8E"/>
    <w:rsid w:val="FBB3F64C"/>
    <w:rsid w:val="FBB7BD00"/>
    <w:rsid w:val="FBBA7940"/>
    <w:rsid w:val="FBBAA16F"/>
    <w:rsid w:val="FBBAA318"/>
    <w:rsid w:val="FBBD37C8"/>
    <w:rsid w:val="FBBDB232"/>
    <w:rsid w:val="FBBE04BE"/>
    <w:rsid w:val="FBBE9F0E"/>
    <w:rsid w:val="FBBFE0F2"/>
    <w:rsid w:val="FBC307E7"/>
    <w:rsid w:val="FBD71FE6"/>
    <w:rsid w:val="FBDA056C"/>
    <w:rsid w:val="FBDB4A88"/>
    <w:rsid w:val="FBDD5CC5"/>
    <w:rsid w:val="FBDD8FFB"/>
    <w:rsid w:val="FBDE5AC6"/>
    <w:rsid w:val="FBDF29BC"/>
    <w:rsid w:val="FBDF3520"/>
    <w:rsid w:val="FBDF89F4"/>
    <w:rsid w:val="FBE6AE41"/>
    <w:rsid w:val="FBE7512A"/>
    <w:rsid w:val="FBE796B0"/>
    <w:rsid w:val="FBEB4A11"/>
    <w:rsid w:val="FBEE6DD8"/>
    <w:rsid w:val="FBEF7A18"/>
    <w:rsid w:val="FBEF90C3"/>
    <w:rsid w:val="FBF3596B"/>
    <w:rsid w:val="FBF3F45A"/>
    <w:rsid w:val="FBF43436"/>
    <w:rsid w:val="FBF523E3"/>
    <w:rsid w:val="FBF6B7D6"/>
    <w:rsid w:val="FBF7BA6E"/>
    <w:rsid w:val="FBFB146A"/>
    <w:rsid w:val="FBFBF132"/>
    <w:rsid w:val="FBFCCA38"/>
    <w:rsid w:val="FBFCF7C9"/>
    <w:rsid w:val="FBFE9944"/>
    <w:rsid w:val="FBFEDD39"/>
    <w:rsid w:val="FBFF08CF"/>
    <w:rsid w:val="FBFF11CF"/>
    <w:rsid w:val="FBFF574B"/>
    <w:rsid w:val="FBFF631A"/>
    <w:rsid w:val="FBFFAFA5"/>
    <w:rsid w:val="FBFFB3B5"/>
    <w:rsid w:val="FBFFEFCA"/>
    <w:rsid w:val="FC1FA478"/>
    <w:rsid w:val="FC338EC6"/>
    <w:rsid w:val="FC3B7EAF"/>
    <w:rsid w:val="FC57D677"/>
    <w:rsid w:val="FC5B96EB"/>
    <w:rsid w:val="FCBB129A"/>
    <w:rsid w:val="FCDFAE0F"/>
    <w:rsid w:val="FCEDB2CB"/>
    <w:rsid w:val="FCEEEAA2"/>
    <w:rsid w:val="FCEF1E53"/>
    <w:rsid w:val="FCEFA952"/>
    <w:rsid w:val="FCF42D28"/>
    <w:rsid w:val="FCF56B6F"/>
    <w:rsid w:val="FCF74499"/>
    <w:rsid w:val="FCFB4C11"/>
    <w:rsid w:val="FCFB7DA3"/>
    <w:rsid w:val="FCFB9A57"/>
    <w:rsid w:val="FCFD8CF7"/>
    <w:rsid w:val="FCFF4E42"/>
    <w:rsid w:val="FD173ECA"/>
    <w:rsid w:val="FD249F24"/>
    <w:rsid w:val="FD41ECD3"/>
    <w:rsid w:val="FD53390C"/>
    <w:rsid w:val="FD6C5AF3"/>
    <w:rsid w:val="FD6EF98B"/>
    <w:rsid w:val="FD6F3652"/>
    <w:rsid w:val="FD7053D8"/>
    <w:rsid w:val="FD735655"/>
    <w:rsid w:val="FD751972"/>
    <w:rsid w:val="FD7A4794"/>
    <w:rsid w:val="FD7C1B87"/>
    <w:rsid w:val="FD7E11CB"/>
    <w:rsid w:val="FD7F896E"/>
    <w:rsid w:val="FD7FD161"/>
    <w:rsid w:val="FD8D64F3"/>
    <w:rsid w:val="FDA38EBA"/>
    <w:rsid w:val="FDA94DB6"/>
    <w:rsid w:val="FDAB2A46"/>
    <w:rsid w:val="FDADA9EF"/>
    <w:rsid w:val="FDAF597A"/>
    <w:rsid w:val="FDAFC65B"/>
    <w:rsid w:val="FDAFFC52"/>
    <w:rsid w:val="FDB7E2B7"/>
    <w:rsid w:val="FDB7FD40"/>
    <w:rsid w:val="FDBA9648"/>
    <w:rsid w:val="FDBBB430"/>
    <w:rsid w:val="FDBCD350"/>
    <w:rsid w:val="FDBD97A2"/>
    <w:rsid w:val="FDBE862C"/>
    <w:rsid w:val="FDBE9549"/>
    <w:rsid w:val="FDBFA2AE"/>
    <w:rsid w:val="FDBFB999"/>
    <w:rsid w:val="FDC7DE5F"/>
    <w:rsid w:val="FDCDE2A2"/>
    <w:rsid w:val="FDCE65B3"/>
    <w:rsid w:val="FDCFBF56"/>
    <w:rsid w:val="FDD6E484"/>
    <w:rsid w:val="FDD7F875"/>
    <w:rsid w:val="FDDCEC9B"/>
    <w:rsid w:val="FDDDCAC5"/>
    <w:rsid w:val="FDDE5682"/>
    <w:rsid w:val="FDDFD366"/>
    <w:rsid w:val="FDE6D48A"/>
    <w:rsid w:val="FDE72A6D"/>
    <w:rsid w:val="FDEC83AA"/>
    <w:rsid w:val="FDEEACF4"/>
    <w:rsid w:val="FDEECB1C"/>
    <w:rsid w:val="FDEEF9E1"/>
    <w:rsid w:val="FDEF048B"/>
    <w:rsid w:val="FDEF869F"/>
    <w:rsid w:val="FDEF8FC9"/>
    <w:rsid w:val="FDF46ACC"/>
    <w:rsid w:val="FDF58E01"/>
    <w:rsid w:val="FDF599A4"/>
    <w:rsid w:val="FDF5CF35"/>
    <w:rsid w:val="FDF5DBCB"/>
    <w:rsid w:val="FDF70DED"/>
    <w:rsid w:val="FDF7E9AC"/>
    <w:rsid w:val="FDF96972"/>
    <w:rsid w:val="FDFBB694"/>
    <w:rsid w:val="FDFBC5A4"/>
    <w:rsid w:val="FDFBF467"/>
    <w:rsid w:val="FDFD8142"/>
    <w:rsid w:val="FDFE024C"/>
    <w:rsid w:val="FDFE8EB2"/>
    <w:rsid w:val="FDFEA296"/>
    <w:rsid w:val="FDFF033F"/>
    <w:rsid w:val="FDFF2759"/>
    <w:rsid w:val="FDFF5C04"/>
    <w:rsid w:val="FDFF7EAB"/>
    <w:rsid w:val="FDFF95C5"/>
    <w:rsid w:val="FDFFEC38"/>
    <w:rsid w:val="FE1BF74C"/>
    <w:rsid w:val="FE266E4E"/>
    <w:rsid w:val="FE4AC06F"/>
    <w:rsid w:val="FE5F3DE9"/>
    <w:rsid w:val="FE5F46DE"/>
    <w:rsid w:val="FE5F65A6"/>
    <w:rsid w:val="FE5F78AB"/>
    <w:rsid w:val="FE5F99F8"/>
    <w:rsid w:val="FE675C8A"/>
    <w:rsid w:val="FE6779EE"/>
    <w:rsid w:val="FE6FAFD2"/>
    <w:rsid w:val="FE72C1DF"/>
    <w:rsid w:val="FE7A2666"/>
    <w:rsid w:val="FE7B5870"/>
    <w:rsid w:val="FE7B9A39"/>
    <w:rsid w:val="FE7E7F3A"/>
    <w:rsid w:val="FE7F1F5C"/>
    <w:rsid w:val="FE964AF6"/>
    <w:rsid w:val="FE968C61"/>
    <w:rsid w:val="FEA58CB5"/>
    <w:rsid w:val="FEAB7F76"/>
    <w:rsid w:val="FEAD06CC"/>
    <w:rsid w:val="FEAD72C5"/>
    <w:rsid w:val="FEAF5E73"/>
    <w:rsid w:val="FEB34928"/>
    <w:rsid w:val="FEBB0F4C"/>
    <w:rsid w:val="FEBC43B5"/>
    <w:rsid w:val="FEBF184E"/>
    <w:rsid w:val="FEBFAF3F"/>
    <w:rsid w:val="FECD01DE"/>
    <w:rsid w:val="FED29255"/>
    <w:rsid w:val="FED7B2A6"/>
    <w:rsid w:val="FED7C8D3"/>
    <w:rsid w:val="FEDE5608"/>
    <w:rsid w:val="FEDF1001"/>
    <w:rsid w:val="FEDF1AD6"/>
    <w:rsid w:val="FEDFBBDB"/>
    <w:rsid w:val="FEDFFC1A"/>
    <w:rsid w:val="FEE59720"/>
    <w:rsid w:val="FEE66FCE"/>
    <w:rsid w:val="FEE9D605"/>
    <w:rsid w:val="FEEA557C"/>
    <w:rsid w:val="FEEDFFE6"/>
    <w:rsid w:val="FEF26443"/>
    <w:rsid w:val="FEF55F47"/>
    <w:rsid w:val="FEF5F95A"/>
    <w:rsid w:val="FEF70F36"/>
    <w:rsid w:val="FEF7155C"/>
    <w:rsid w:val="FEF77EA4"/>
    <w:rsid w:val="FEF7A2FF"/>
    <w:rsid w:val="FEF7EDEE"/>
    <w:rsid w:val="FEFB186D"/>
    <w:rsid w:val="FEFB60A2"/>
    <w:rsid w:val="FEFBC544"/>
    <w:rsid w:val="FEFBC7EE"/>
    <w:rsid w:val="FEFCC1AE"/>
    <w:rsid w:val="FEFD2F33"/>
    <w:rsid w:val="FEFD438E"/>
    <w:rsid w:val="FEFDFEF1"/>
    <w:rsid w:val="FEFE0D81"/>
    <w:rsid w:val="FEFE68BA"/>
    <w:rsid w:val="FEFEB16F"/>
    <w:rsid w:val="FEFEC34A"/>
    <w:rsid w:val="FEFF2343"/>
    <w:rsid w:val="FEFF2489"/>
    <w:rsid w:val="FEFF46DB"/>
    <w:rsid w:val="FEFFAA7D"/>
    <w:rsid w:val="FEFFF373"/>
    <w:rsid w:val="FF233672"/>
    <w:rsid w:val="FF233AE0"/>
    <w:rsid w:val="FF29C875"/>
    <w:rsid w:val="FF2F3221"/>
    <w:rsid w:val="FF3B21AC"/>
    <w:rsid w:val="FF3DCDC8"/>
    <w:rsid w:val="FF3E85AE"/>
    <w:rsid w:val="FF3F659C"/>
    <w:rsid w:val="FF3F8E90"/>
    <w:rsid w:val="FF3FCEF9"/>
    <w:rsid w:val="FF4BC720"/>
    <w:rsid w:val="FF5771DE"/>
    <w:rsid w:val="FF57E005"/>
    <w:rsid w:val="FF5E91D6"/>
    <w:rsid w:val="FF5F2A3F"/>
    <w:rsid w:val="FF5F67A0"/>
    <w:rsid w:val="FF650F7E"/>
    <w:rsid w:val="FF66DF22"/>
    <w:rsid w:val="FF66F4C5"/>
    <w:rsid w:val="FF695AE9"/>
    <w:rsid w:val="FF6BEB3E"/>
    <w:rsid w:val="FF6D980D"/>
    <w:rsid w:val="FF6E471A"/>
    <w:rsid w:val="FF6EFCA3"/>
    <w:rsid w:val="FF6F82E2"/>
    <w:rsid w:val="FF71AA94"/>
    <w:rsid w:val="FF72368A"/>
    <w:rsid w:val="FF73DBC9"/>
    <w:rsid w:val="FF74B2E0"/>
    <w:rsid w:val="FF75A274"/>
    <w:rsid w:val="FF75B554"/>
    <w:rsid w:val="FF76D7AC"/>
    <w:rsid w:val="FF771440"/>
    <w:rsid w:val="FF774F4E"/>
    <w:rsid w:val="FF79EAD1"/>
    <w:rsid w:val="FF7B5AA6"/>
    <w:rsid w:val="FF7B8F21"/>
    <w:rsid w:val="FF7D66BF"/>
    <w:rsid w:val="FF7DC77C"/>
    <w:rsid w:val="FF7DFDAE"/>
    <w:rsid w:val="FF7E3867"/>
    <w:rsid w:val="FF7F1806"/>
    <w:rsid w:val="FF7F20B4"/>
    <w:rsid w:val="FF7F2BA6"/>
    <w:rsid w:val="FF7F4E10"/>
    <w:rsid w:val="FF7F4E39"/>
    <w:rsid w:val="FF7F69F2"/>
    <w:rsid w:val="FF7F702E"/>
    <w:rsid w:val="FF7F900A"/>
    <w:rsid w:val="FF7F920F"/>
    <w:rsid w:val="FF7FAF24"/>
    <w:rsid w:val="FF7FD74E"/>
    <w:rsid w:val="FF876C74"/>
    <w:rsid w:val="FF8DA2C7"/>
    <w:rsid w:val="FF8E9499"/>
    <w:rsid w:val="FF933665"/>
    <w:rsid w:val="FF9A8A8B"/>
    <w:rsid w:val="FF9A9C21"/>
    <w:rsid w:val="FF9CCDFF"/>
    <w:rsid w:val="FF9D1CE6"/>
    <w:rsid w:val="FF9F5A3E"/>
    <w:rsid w:val="FF9F7B4C"/>
    <w:rsid w:val="FF9F9C58"/>
    <w:rsid w:val="FF9FB8AF"/>
    <w:rsid w:val="FFAD4B9C"/>
    <w:rsid w:val="FFAFA88A"/>
    <w:rsid w:val="FFAFFC31"/>
    <w:rsid w:val="FFB11237"/>
    <w:rsid w:val="FFB2B281"/>
    <w:rsid w:val="FFB3527A"/>
    <w:rsid w:val="FFB5CF00"/>
    <w:rsid w:val="FFB742C8"/>
    <w:rsid w:val="FFB7C9CB"/>
    <w:rsid w:val="FFB9650C"/>
    <w:rsid w:val="FFBAFE3B"/>
    <w:rsid w:val="FFBB2DF8"/>
    <w:rsid w:val="FFBB52C9"/>
    <w:rsid w:val="FFBBD0D3"/>
    <w:rsid w:val="FFBBF17B"/>
    <w:rsid w:val="FFBC3EDC"/>
    <w:rsid w:val="FFBC74D1"/>
    <w:rsid w:val="FFBD03B9"/>
    <w:rsid w:val="FFBD7495"/>
    <w:rsid w:val="FFBD8EDC"/>
    <w:rsid w:val="FFBDA78A"/>
    <w:rsid w:val="FFBDB0C8"/>
    <w:rsid w:val="FFBDC030"/>
    <w:rsid w:val="FFBDD38E"/>
    <w:rsid w:val="FFBE18B7"/>
    <w:rsid w:val="FFBE1C76"/>
    <w:rsid w:val="FFBEBA7F"/>
    <w:rsid w:val="FFBF10AB"/>
    <w:rsid w:val="FFBF24B6"/>
    <w:rsid w:val="FFBF3E91"/>
    <w:rsid w:val="FFBF6553"/>
    <w:rsid w:val="FFBF6B63"/>
    <w:rsid w:val="FFBF75C1"/>
    <w:rsid w:val="FFBFDC19"/>
    <w:rsid w:val="FFBFE9B1"/>
    <w:rsid w:val="FFBFEF67"/>
    <w:rsid w:val="FFBFF0AD"/>
    <w:rsid w:val="FFC28722"/>
    <w:rsid w:val="FFC61AF4"/>
    <w:rsid w:val="FFCA567F"/>
    <w:rsid w:val="FFCB570E"/>
    <w:rsid w:val="FFCF0637"/>
    <w:rsid w:val="FFCF176A"/>
    <w:rsid w:val="FFCFD7F0"/>
    <w:rsid w:val="FFD04292"/>
    <w:rsid w:val="FFD174D8"/>
    <w:rsid w:val="FFD3A89F"/>
    <w:rsid w:val="FFD50645"/>
    <w:rsid w:val="FFD53C31"/>
    <w:rsid w:val="FFD705AC"/>
    <w:rsid w:val="FFD8448C"/>
    <w:rsid w:val="FFDA39D0"/>
    <w:rsid w:val="FFDAF587"/>
    <w:rsid w:val="FFDBA845"/>
    <w:rsid w:val="FFDBE0A7"/>
    <w:rsid w:val="FFDD1AB5"/>
    <w:rsid w:val="FFDD4A39"/>
    <w:rsid w:val="FFDD665A"/>
    <w:rsid w:val="FFDE4B3F"/>
    <w:rsid w:val="FFDE89F3"/>
    <w:rsid w:val="FFDEDCB7"/>
    <w:rsid w:val="FFDEFF01"/>
    <w:rsid w:val="FFDF1DD6"/>
    <w:rsid w:val="FFDF4CF8"/>
    <w:rsid w:val="FFDFBD27"/>
    <w:rsid w:val="FFDFF091"/>
    <w:rsid w:val="FFDFF183"/>
    <w:rsid w:val="FFDFF2EF"/>
    <w:rsid w:val="FFE14E5D"/>
    <w:rsid w:val="FFE30D67"/>
    <w:rsid w:val="FFE561DB"/>
    <w:rsid w:val="FFE58C63"/>
    <w:rsid w:val="FFE6FEC9"/>
    <w:rsid w:val="FFE796D8"/>
    <w:rsid w:val="FFE7A7A7"/>
    <w:rsid w:val="FFE93F3D"/>
    <w:rsid w:val="FFEB00D8"/>
    <w:rsid w:val="FFEC8093"/>
    <w:rsid w:val="FFECD0DF"/>
    <w:rsid w:val="FFECF75A"/>
    <w:rsid w:val="FFED9AA1"/>
    <w:rsid w:val="FFEE045C"/>
    <w:rsid w:val="FFEF0E32"/>
    <w:rsid w:val="FFEF1477"/>
    <w:rsid w:val="FFEF45A9"/>
    <w:rsid w:val="FFEF661D"/>
    <w:rsid w:val="FFEFD872"/>
    <w:rsid w:val="FFEFF10F"/>
    <w:rsid w:val="FFEFF67E"/>
    <w:rsid w:val="FFEFFCB6"/>
    <w:rsid w:val="FFF2D396"/>
    <w:rsid w:val="FFF33F04"/>
    <w:rsid w:val="FFF383F6"/>
    <w:rsid w:val="FFF3CF73"/>
    <w:rsid w:val="FFF44CAF"/>
    <w:rsid w:val="FFF5AF04"/>
    <w:rsid w:val="FFF66BBD"/>
    <w:rsid w:val="FFF6C5D5"/>
    <w:rsid w:val="FFF716B0"/>
    <w:rsid w:val="FFF737FE"/>
    <w:rsid w:val="FFF73E73"/>
    <w:rsid w:val="FFF76B39"/>
    <w:rsid w:val="FFF76F36"/>
    <w:rsid w:val="FFF77DA0"/>
    <w:rsid w:val="FFF78C3D"/>
    <w:rsid w:val="FFF7D5DA"/>
    <w:rsid w:val="FFF7EE94"/>
    <w:rsid w:val="FFF7F96E"/>
    <w:rsid w:val="FFF7FC2F"/>
    <w:rsid w:val="FFF86F66"/>
    <w:rsid w:val="FFF9456A"/>
    <w:rsid w:val="FFF99AB5"/>
    <w:rsid w:val="FFFA07DC"/>
    <w:rsid w:val="FFFA74C6"/>
    <w:rsid w:val="FFFA9469"/>
    <w:rsid w:val="FFFAF903"/>
    <w:rsid w:val="FFFB0156"/>
    <w:rsid w:val="FFFB206D"/>
    <w:rsid w:val="FFFB3A67"/>
    <w:rsid w:val="FFFB537A"/>
    <w:rsid w:val="FFFB580F"/>
    <w:rsid w:val="FFFB5EED"/>
    <w:rsid w:val="FFFB624A"/>
    <w:rsid w:val="FFFB6E8A"/>
    <w:rsid w:val="FFFB82B2"/>
    <w:rsid w:val="FFFB8323"/>
    <w:rsid w:val="FFFB8594"/>
    <w:rsid w:val="FFFB896E"/>
    <w:rsid w:val="FFFB8E24"/>
    <w:rsid w:val="FFFC1EBD"/>
    <w:rsid w:val="FFFC3E7F"/>
    <w:rsid w:val="FFFD07F6"/>
    <w:rsid w:val="FFFD0FC1"/>
    <w:rsid w:val="FFFD2A6D"/>
    <w:rsid w:val="FFFD3EA4"/>
    <w:rsid w:val="FFFD4750"/>
    <w:rsid w:val="FFFD5239"/>
    <w:rsid w:val="FFFD62E3"/>
    <w:rsid w:val="FFFD72C6"/>
    <w:rsid w:val="FFFD7A3B"/>
    <w:rsid w:val="FFFD7D96"/>
    <w:rsid w:val="FFFDCFAB"/>
    <w:rsid w:val="FFFE01B2"/>
    <w:rsid w:val="FFFE5920"/>
    <w:rsid w:val="FFFE7150"/>
    <w:rsid w:val="FFFED807"/>
    <w:rsid w:val="FFFED8B0"/>
    <w:rsid w:val="FFFF06E2"/>
    <w:rsid w:val="FFFF09EB"/>
    <w:rsid w:val="FFFF1CD0"/>
    <w:rsid w:val="FFFF23B9"/>
    <w:rsid w:val="FFFF2633"/>
    <w:rsid w:val="FFFF2C2C"/>
    <w:rsid w:val="FFFF2DF4"/>
    <w:rsid w:val="FFFF3470"/>
    <w:rsid w:val="FFFF3951"/>
    <w:rsid w:val="FFFF3CC3"/>
    <w:rsid w:val="FFFF50E3"/>
    <w:rsid w:val="FFFF6578"/>
    <w:rsid w:val="FFFF65C4"/>
    <w:rsid w:val="FFFF73DD"/>
    <w:rsid w:val="FFFF8629"/>
    <w:rsid w:val="FFFF9157"/>
    <w:rsid w:val="FFFFAE05"/>
    <w:rsid w:val="FFFFB3D6"/>
    <w:rsid w:val="FFFFB538"/>
    <w:rsid w:val="FFFFC351"/>
    <w:rsid w:val="FFFFDD63"/>
    <w:rsid w:val="FFFFE2E5"/>
    <w:rsid w:val="FFFFE483"/>
    <w:rsid w:val="FFFFF306"/>
    <w:rsid w:val="FFFFF983"/>
    <w:rsid w:val="FFFFF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index 5"/>
    <w:basedOn w:val="1"/>
    <w:next w:val="1"/>
    <w:unhideWhenUsed/>
    <w:qFormat/>
    <w:uiPriority w:val="99"/>
    <w:pPr>
      <w:ind w:left="1680"/>
    </w:pPr>
    <w:rPr>
      <w:rFonts w:eastAsia="Times New Roman"/>
      <w:sz w:val="32"/>
      <w:szCs w:val="24"/>
    </w:rPr>
  </w:style>
  <w:style w:type="paragraph" w:styleId="4">
    <w:name w:val="annotation text"/>
    <w:basedOn w:val="1"/>
    <w:unhideWhenUsed/>
    <w:qFormat/>
    <w:uiPriority w:val="99"/>
    <w:pPr>
      <w:jc w:val="left"/>
    </w:pPr>
  </w:style>
  <w:style w:type="paragraph" w:styleId="5">
    <w:name w:val="Body Text"/>
    <w:basedOn w:val="1"/>
    <w:next w:val="6"/>
    <w:unhideWhenUsed/>
    <w:qFormat/>
    <w:uiPriority w:val="99"/>
    <w:pPr>
      <w:ind w:left="120"/>
    </w:pPr>
    <w:rPr>
      <w:rFonts w:ascii="Arial Unicode MS" w:hAnsi="Arial Unicode MS" w:eastAsia="Arial Unicode MS"/>
      <w:sz w:val="24"/>
      <w:szCs w:val="24"/>
    </w:rPr>
  </w:style>
  <w:style w:type="paragraph" w:styleId="6">
    <w:name w:val="Body Text 2"/>
    <w:basedOn w:val="1"/>
    <w:next w:val="5"/>
    <w:unhideWhenUsed/>
    <w:qFormat/>
    <w:uiPriority w:val="99"/>
    <w:pPr>
      <w:spacing w:after="120" w:afterLines="0" w:line="480" w:lineRule="auto"/>
    </w:pPr>
    <w:rPr>
      <w:sz w:val="20"/>
    </w:rPr>
  </w:style>
  <w:style w:type="paragraph" w:styleId="7">
    <w:name w:val="Body Text Indent"/>
    <w:basedOn w:val="1"/>
    <w:unhideWhenUsed/>
    <w:qFormat/>
    <w:uiPriority w:val="99"/>
    <w:pPr>
      <w:tabs>
        <w:tab w:val="left" w:pos="0"/>
      </w:tabs>
      <w:ind w:firstLine="540"/>
    </w:pPr>
    <w:rPr>
      <w:rFonts w:eastAsia="楷体_GB2312"/>
      <w:b/>
      <w:sz w:val="28"/>
    </w:rPr>
  </w:style>
  <w:style w:type="paragraph" w:styleId="8">
    <w:name w:val="Plain Text"/>
    <w:unhideWhenUsed/>
    <w:qFormat/>
    <w:uiPriority w:val="99"/>
    <w:rPr>
      <w:rFonts w:ascii="宋体" w:hAnsi="Courier New" w:eastAsia="宋体" w:cs="仿宋_GB231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Body Text First Indent"/>
    <w:basedOn w:val="5"/>
    <w:unhideWhenUsed/>
    <w:qFormat/>
    <w:uiPriority w:val="99"/>
    <w:pPr>
      <w:ind w:firstLine="420" w:firstLineChars="100"/>
    </w:pPr>
  </w:style>
  <w:style w:type="paragraph" w:styleId="13">
    <w:name w:val="Body Text First Indent 2"/>
    <w:basedOn w:val="7"/>
    <w:next w:val="1"/>
    <w:unhideWhenUsed/>
    <w:qFormat/>
    <w:uiPriority w:val="99"/>
    <w:pPr>
      <w:ind w:firstLine="420" w:firstLineChars="200"/>
    </w:pPr>
  </w:style>
  <w:style w:type="character" w:styleId="16">
    <w:name w:val="page number"/>
    <w:basedOn w:val="15"/>
    <w:unhideWhenUsed/>
    <w:qFormat/>
    <w:uiPriority w:val="99"/>
  </w:style>
  <w:style w:type="character" w:styleId="17">
    <w:name w:val="Emphasis"/>
    <w:basedOn w:val="15"/>
    <w:qFormat/>
    <w:uiPriority w:val="0"/>
    <w:rPr>
      <w:i/>
    </w:rPr>
  </w:style>
  <w:style w:type="paragraph" w:customStyle="1" w:styleId="18">
    <w:name w:val="Heading2"/>
    <w:basedOn w:val="1"/>
    <w:next w:val="1"/>
    <w:qFormat/>
    <w:uiPriority w:val="0"/>
    <w:pPr>
      <w:keepNext/>
      <w:keepLines/>
      <w:spacing w:line="300" w:lineRule="auto"/>
      <w:ind w:firstLineChars="0"/>
      <w:jc w:val="center"/>
      <w:textAlignment w:val="baseline"/>
    </w:pPr>
    <w:rPr>
      <w:rFonts w:ascii="Arial" w:hAnsi="Arial" w:eastAsia="宋体"/>
      <w:b/>
      <w:kern w:val="2"/>
      <w:sz w:val="24"/>
      <w:szCs w:val="22"/>
      <w:lang w:val="en-US" w:eastAsia="zh-CN" w:bidi="ar-SA"/>
    </w:rPr>
  </w:style>
  <w:style w:type="paragraph" w:customStyle="1" w:styleId="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2"/>
    <w:next w:val="1"/>
    <w:qFormat/>
    <w:uiPriority w:val="0"/>
    <w:pPr>
      <w:widowControl w:val="0"/>
      <w:jc w:val="both"/>
    </w:pPr>
    <w:rPr>
      <w:rFonts w:ascii="Calibri" w:hAnsi="Calibri" w:eastAsia="微软雅黑" w:cs="Times New Roman"/>
      <w:sz w:val="21"/>
      <w:szCs w:val="22"/>
      <w:lang w:val="en-US" w:eastAsia="zh-CN" w:bidi="ar-SA"/>
    </w:rPr>
  </w:style>
  <w:style w:type="paragraph" w:customStyle="1" w:styleId="21">
    <w:name w:val="style4"/>
    <w:basedOn w:val="1"/>
    <w:next w:val="20"/>
    <w:qFormat/>
    <w:uiPriority w:val="0"/>
    <w:pPr>
      <w:widowControl/>
      <w:spacing w:before="280" w:beforeLines="0" w:after="280" w:afterLines="0"/>
    </w:pPr>
    <w:rPr>
      <w:rFonts w:ascii="宋体" w:eastAsia="宋体"/>
      <w:sz w:val="18"/>
    </w:rPr>
  </w:style>
  <w:style w:type="paragraph" w:customStyle="1" w:styleId="22">
    <w:name w:val="_Style 1"/>
    <w:basedOn w:val="1"/>
    <w:qFormat/>
    <w:uiPriority w:val="0"/>
    <w:pPr>
      <w:spacing w:line="481" w:lineRule="atLeast"/>
      <w:ind w:firstLine="623"/>
      <w:textAlignment w:val="baseline"/>
    </w:pPr>
    <w:rPr>
      <w:rFonts w:hAnsi="Calibri" w:eastAsia="仿宋_GB2312" w:cs="黑体"/>
      <w:color w:val="000000"/>
      <w:sz w:val="31"/>
    </w:rPr>
  </w:style>
  <w:style w:type="paragraph" w:customStyle="1" w:styleId="23">
    <w:name w:val="No Spacing"/>
    <w:next w:val="1"/>
    <w:qFormat/>
    <w:uiPriority w:val="5"/>
    <w:pPr>
      <w:spacing w:after="0" w:afterLines="0" w:line="240" w:lineRule="auto"/>
      <w:jc w:val="both"/>
    </w:pPr>
    <w:rPr>
      <w:rFonts w:ascii="Times New Roman" w:hAnsi="Times New Roman" w:eastAsia="黑体" w:cs="黑体"/>
      <w:color w:val="auto"/>
      <w:sz w:val="21"/>
      <w:szCs w:val="21"/>
    </w:rPr>
  </w:style>
  <w:style w:type="character" w:customStyle="1" w:styleId="24">
    <w:name w:val="NormalCharacter"/>
    <w:qFormat/>
    <w:uiPriority w:val="0"/>
  </w:style>
  <w:style w:type="character" w:customStyle="1" w:styleId="25">
    <w:name w:val="UserStyle_0"/>
    <w:qFormat/>
    <w:uiPriority w:val="0"/>
    <w:rPr>
      <w:rFonts w:ascii="Calibri" w:hAnsi="Calibri" w:eastAsia="宋体" w:cs="Times New Roman"/>
      <w:kern w:val="2"/>
      <w:sz w:val="21"/>
      <w:szCs w:val="24"/>
      <w:lang w:val="en-US" w:eastAsia="zh-CN" w:bidi="ar-SA"/>
    </w:rPr>
  </w:style>
  <w:style w:type="paragraph" w:customStyle="1" w:styleId="26">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6053</Words>
  <Characters>6578</Characters>
  <Lines>0</Lines>
  <Paragraphs>0</Paragraphs>
  <TotalTime>129</TotalTime>
  <ScaleCrop>false</ScaleCrop>
  <LinksUpToDate>false</LinksUpToDate>
  <CharactersWithSpaces>6661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2012-06-28T01:30:00Z</dcterms:created>
  <dc:creator>Administrator</dc:creator>
  <cp:lastModifiedBy>sugon</cp:lastModifiedBy>
  <cp:lastPrinted>2024-05-29T17:33:15Z</cp:lastPrinted>
  <dcterms:modified xsi:type="dcterms:W3CDTF">2024-05-29T17:37:05Z</dcterms:modified>
  <dc:title>2020年安阳市生态环境状况公报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AD280A04229A48459B7332D12DC4F9C6_13</vt:lpwstr>
  </property>
</Properties>
</file>