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cs="宋体"/>
          <w:b/>
          <w:bCs/>
          <w:spacing w:val="1"/>
          <w:sz w:val="44"/>
          <w:lang w:val="en-US" w:eastAsia="zh-CN"/>
        </w:rPr>
      </w:pPr>
      <w:r>
        <w:rPr>
          <w:rFonts w:hint="eastAsia" w:ascii="宋体" w:hAnsi="宋体" w:cs="宋体"/>
          <w:b/>
          <w:bCs/>
          <w:spacing w:val="1"/>
          <w:sz w:val="44"/>
        </w:rPr>
        <w:t>安阳</w:t>
      </w:r>
      <w:r>
        <w:rPr>
          <w:rFonts w:hint="eastAsia" w:ascii="宋体" w:hAnsi="宋体" w:cs="宋体"/>
          <w:b/>
          <w:bCs/>
          <w:spacing w:val="1"/>
          <w:sz w:val="44"/>
          <w:lang w:val="en-US" w:eastAsia="zh-CN"/>
        </w:rPr>
        <w:t>高新技术产业开发区管理委员会</w:t>
      </w:r>
    </w:p>
    <w:p>
      <w:pPr>
        <w:spacing w:line="640" w:lineRule="exact"/>
        <w:jc w:val="center"/>
        <w:rPr>
          <w:rFonts w:hint="eastAsia" w:ascii="宋体" w:hAnsi="宋体" w:cs="宋体"/>
          <w:b/>
          <w:bCs/>
          <w:spacing w:val="-1"/>
          <w:sz w:val="44"/>
        </w:rPr>
      </w:pPr>
      <w:r>
        <w:rPr>
          <w:rFonts w:hint="eastAsia" w:ascii="宋体" w:hAnsi="宋体" w:cs="宋体"/>
          <w:b/>
          <w:bCs/>
          <w:spacing w:val="1"/>
          <w:sz w:val="44"/>
        </w:rPr>
        <w:t>自然资源和规划局</w:t>
      </w:r>
      <w:r>
        <w:rPr>
          <w:rFonts w:hint="eastAsia" w:ascii="宋体" w:hAnsi="宋体" w:cs="宋体"/>
          <w:b/>
          <w:bCs/>
          <w:spacing w:val="-1"/>
          <w:sz w:val="44"/>
        </w:rPr>
        <w:t>国有建设用地使用权</w:t>
      </w:r>
    </w:p>
    <w:p>
      <w:pPr>
        <w:spacing w:line="640" w:lineRule="exact"/>
        <w:jc w:val="center"/>
        <w:rPr>
          <w:rFonts w:hint="eastAsia" w:ascii="宋体" w:hAnsi="宋体" w:cs="宋体"/>
          <w:b/>
          <w:bCs/>
          <w:spacing w:val="-1"/>
          <w:sz w:val="44"/>
        </w:rPr>
      </w:pPr>
      <w:r>
        <w:rPr>
          <w:rFonts w:hint="eastAsia" w:ascii="宋体" w:hAnsi="宋体" w:cs="宋体"/>
          <w:b/>
          <w:bCs/>
          <w:spacing w:val="-1"/>
          <w:sz w:val="44"/>
        </w:rPr>
        <w:t>网上拍卖出让公告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539" w:lineRule="atLeast"/>
        <w:jc w:val="center"/>
        <w:textAlignment w:val="auto"/>
        <w:rPr>
          <w:rFonts w:hint="eastAsia" w:ascii="仿宋_GB2312" w:hAnsi="仿宋" w:eastAsia="仿宋_GB2312"/>
          <w:spacing w:val="-1"/>
          <w:sz w:val="30"/>
        </w:rPr>
      </w:pPr>
      <w:r>
        <w:rPr>
          <w:rFonts w:hint="eastAsia" w:ascii="仿宋_GB2312" w:hAnsi="仿宋" w:eastAsia="仿宋_GB2312"/>
          <w:spacing w:val="-1"/>
          <w:sz w:val="30"/>
        </w:rPr>
        <w:t>安</w:t>
      </w:r>
      <w:r>
        <w:rPr>
          <w:rFonts w:hint="eastAsia" w:ascii="仿宋_GB2312" w:hAnsi="仿宋" w:eastAsia="仿宋_GB2312"/>
          <w:spacing w:val="-1"/>
          <w:sz w:val="30"/>
          <w:lang w:val="en-US" w:eastAsia="zh-CN"/>
        </w:rPr>
        <w:t>开</w:t>
      </w:r>
      <w:r>
        <w:rPr>
          <w:rFonts w:hint="eastAsia" w:ascii="仿宋_GB2312" w:hAnsi="仿宋" w:eastAsia="仿宋_GB2312"/>
          <w:spacing w:val="-1"/>
          <w:sz w:val="30"/>
        </w:rPr>
        <w:t>自然资告字〔202</w:t>
      </w:r>
      <w:r>
        <w:rPr>
          <w:rFonts w:hint="eastAsia" w:ascii="仿宋_GB2312" w:hAnsi="仿宋" w:eastAsia="仿宋_GB2312"/>
          <w:spacing w:val="-1"/>
          <w:sz w:val="30"/>
          <w:lang w:val="en-US" w:eastAsia="zh-CN"/>
        </w:rPr>
        <w:t>4</w:t>
      </w:r>
      <w:r>
        <w:rPr>
          <w:rFonts w:hint="eastAsia" w:ascii="仿宋_GB2312" w:hAnsi="仿宋" w:eastAsia="仿宋_GB2312"/>
          <w:spacing w:val="-1"/>
          <w:sz w:val="30"/>
        </w:rPr>
        <w:t>〕</w:t>
      </w:r>
      <w:r>
        <w:rPr>
          <w:rFonts w:hint="eastAsia" w:ascii="仿宋_GB2312" w:hAnsi="仿宋" w:eastAsia="仿宋_GB2312"/>
          <w:spacing w:val="-1"/>
          <w:sz w:val="30"/>
          <w:lang w:val="en-US" w:eastAsia="zh-CN"/>
        </w:rPr>
        <w:t>1</w:t>
      </w:r>
      <w:r>
        <w:rPr>
          <w:rFonts w:hint="eastAsia" w:ascii="仿宋_GB2312" w:hAnsi="仿宋" w:eastAsia="仿宋_GB2312"/>
          <w:spacing w:val="-1"/>
          <w:sz w:val="30"/>
        </w:rPr>
        <w:t>号</w:t>
      </w:r>
    </w:p>
    <w:p>
      <w:pPr>
        <w:spacing w:line="539" w:lineRule="atLeast"/>
        <w:ind w:firstLine="636" w:firstLineChars="20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经安阳</w:t>
      </w:r>
      <w:r>
        <w:rPr>
          <w:rFonts w:hint="eastAsia" w:ascii="仿宋_GB2312" w:hAnsi="仿宋_GB2312" w:eastAsia="仿宋_GB2312" w:cs="仿宋_GB2312"/>
          <w:spacing w:val="-1"/>
          <w:sz w:val="32"/>
          <w:szCs w:val="32"/>
          <w:lang w:val="en-US" w:eastAsia="zh-CN"/>
        </w:rPr>
        <w:t>高新技术产业开发区管理委员会</w:t>
      </w:r>
      <w:r>
        <w:rPr>
          <w:rFonts w:hint="eastAsia" w:ascii="仿宋_GB2312" w:hAnsi="仿宋_GB2312" w:eastAsia="仿宋_GB2312" w:cs="仿宋_GB2312"/>
          <w:spacing w:val="-1"/>
          <w:sz w:val="32"/>
          <w:szCs w:val="32"/>
        </w:rPr>
        <w:t>批准，安阳</w:t>
      </w:r>
      <w:r>
        <w:rPr>
          <w:rFonts w:hint="eastAsia" w:ascii="仿宋_GB2312" w:hAnsi="仿宋_GB2312" w:eastAsia="仿宋_GB2312" w:cs="仿宋_GB2312"/>
          <w:spacing w:val="-1"/>
          <w:sz w:val="32"/>
          <w:szCs w:val="32"/>
          <w:lang w:val="en-US" w:eastAsia="zh-CN"/>
        </w:rPr>
        <w:t>高新技术产业开发区管理委员会</w:t>
      </w:r>
      <w:r>
        <w:rPr>
          <w:rFonts w:hint="eastAsia" w:ascii="仿宋_GB2312" w:hAnsi="仿宋_GB2312" w:eastAsia="仿宋_GB2312" w:cs="仿宋_GB2312"/>
          <w:spacing w:val="-1"/>
          <w:sz w:val="32"/>
          <w:szCs w:val="32"/>
        </w:rPr>
        <w:t>自然资源和规划局决定以网上拍卖方式出让以下地块的国有建设用地使用权，委托</w:t>
      </w:r>
      <w:r>
        <w:rPr>
          <w:rFonts w:hint="eastAsia" w:ascii="仿宋_GB2312" w:hAnsi="仿宋_GB2312" w:eastAsia="仿宋_GB2312" w:cs="仿宋_GB2312"/>
          <w:spacing w:val="-1"/>
          <w:sz w:val="32"/>
          <w:szCs w:val="32"/>
          <w:lang w:eastAsia="zh-CN"/>
        </w:rPr>
        <w:t>郑州数据交易中心有限公司</w:t>
      </w:r>
      <w:r>
        <w:rPr>
          <w:rFonts w:hint="eastAsia" w:ascii="仿宋_GB2312" w:hAnsi="仿宋_GB2312" w:eastAsia="仿宋_GB2312" w:cs="仿宋_GB2312"/>
          <w:spacing w:val="-1"/>
          <w:sz w:val="32"/>
          <w:szCs w:val="32"/>
        </w:rPr>
        <w:t>组织实施。现将有关事项公告如下：</w:t>
      </w:r>
    </w:p>
    <w:p>
      <w:pPr>
        <w:spacing w:line="580" w:lineRule="exact"/>
        <w:ind w:left="626"/>
        <w:rPr>
          <w:rFonts w:hint="eastAsia" w:ascii="仿宋_GB2312" w:hAnsi="仿宋_GB2312" w:eastAsia="仿宋_GB2312" w:cs="仿宋_GB2312"/>
          <w:b/>
          <w:spacing w:val="-1"/>
          <w:sz w:val="32"/>
          <w:szCs w:val="32"/>
        </w:rPr>
      </w:pPr>
      <w:r>
        <w:rPr>
          <w:rFonts w:hint="eastAsia" w:ascii="仿宋_GB2312" w:hAnsi="仿宋_GB2312" w:eastAsia="仿宋_GB2312" w:cs="仿宋_GB2312"/>
          <w:b/>
          <w:spacing w:val="-1"/>
          <w:sz w:val="32"/>
          <w:szCs w:val="32"/>
        </w:rPr>
        <w:t>一、拍卖出让地块的基本情况和规划指标要求</w:t>
      </w:r>
    </w:p>
    <w:tbl>
      <w:tblPr>
        <w:tblStyle w:val="2"/>
        <w:tblpPr w:leftFromText="182" w:rightFromText="182" w:vertAnchor="text" w:horzAnchor="page" w:tblpX="1643" w:tblpY="262"/>
        <w:tblOverlap w:val="never"/>
        <w:tblW w:w="88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785"/>
        <w:gridCol w:w="969"/>
        <w:gridCol w:w="816"/>
        <w:gridCol w:w="564"/>
        <w:gridCol w:w="662"/>
        <w:gridCol w:w="566"/>
        <w:gridCol w:w="476"/>
        <w:gridCol w:w="389"/>
        <w:gridCol w:w="462"/>
        <w:gridCol w:w="425"/>
        <w:gridCol w:w="425"/>
        <w:gridCol w:w="480"/>
        <w:gridCol w:w="49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837"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地块编号</w:t>
            </w:r>
          </w:p>
        </w:tc>
        <w:tc>
          <w:tcPr>
            <w:tcW w:w="785"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规划编号</w:t>
            </w:r>
          </w:p>
        </w:tc>
        <w:tc>
          <w:tcPr>
            <w:tcW w:w="969"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土地位置</w:t>
            </w:r>
          </w:p>
        </w:tc>
        <w:tc>
          <w:tcPr>
            <w:tcW w:w="816"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出让面积（公顷）</w:t>
            </w:r>
          </w:p>
        </w:tc>
        <w:tc>
          <w:tcPr>
            <w:tcW w:w="2657" w:type="dxa"/>
            <w:gridSpan w:val="5"/>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规划指标</w:t>
            </w:r>
          </w:p>
        </w:tc>
        <w:tc>
          <w:tcPr>
            <w:tcW w:w="462"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出让</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年限</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（年）</w:t>
            </w:r>
          </w:p>
        </w:tc>
        <w:tc>
          <w:tcPr>
            <w:tcW w:w="425"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土地 状况</w:t>
            </w:r>
          </w:p>
        </w:tc>
        <w:tc>
          <w:tcPr>
            <w:tcW w:w="425"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有无底价</w:t>
            </w:r>
          </w:p>
        </w:tc>
        <w:tc>
          <w:tcPr>
            <w:tcW w:w="480"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竞买</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保证金</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（万元）</w:t>
            </w:r>
          </w:p>
        </w:tc>
        <w:tc>
          <w:tcPr>
            <w:tcW w:w="493"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起始价（万元）</w:t>
            </w:r>
          </w:p>
        </w:tc>
        <w:tc>
          <w:tcPr>
            <w:tcW w:w="504" w:type="dxa"/>
            <w:vMerge w:val="restart"/>
            <w:noWrap w:val="0"/>
            <w:vAlign w:val="center"/>
          </w:tcPr>
          <w:p>
            <w:pPr>
              <w:pStyle w:val="5"/>
              <w:spacing w:line="273" w:lineRule="atLeast"/>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增价</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幅度</w:t>
            </w:r>
            <w:r>
              <w:rPr>
                <w:rFonts w:hint="eastAsia" w:ascii="仿宋_GB2312" w:hAnsi="仿宋_GB2312" w:eastAsia="仿宋_GB2312" w:cs="仿宋_GB2312"/>
                <w:sz w:val="15"/>
                <w:szCs w:val="15"/>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exact"/>
        </w:trPr>
        <w:tc>
          <w:tcPr>
            <w:tcW w:w="837" w:type="dxa"/>
            <w:vMerge w:val="continue"/>
            <w:noWrap w:val="0"/>
            <w:vAlign w:val="center"/>
          </w:tcPr>
          <w:p>
            <w:pPr>
              <w:ind w:firstLine="400"/>
              <w:jc w:val="center"/>
              <w:rPr>
                <w:rFonts w:hint="eastAsia" w:ascii="仿宋_GB2312" w:hAnsi="仿宋_GB2312" w:eastAsia="仿宋_GB2312" w:cs="仿宋_GB2312"/>
                <w:sz w:val="15"/>
                <w:szCs w:val="15"/>
              </w:rPr>
            </w:pPr>
          </w:p>
        </w:tc>
        <w:tc>
          <w:tcPr>
            <w:tcW w:w="785" w:type="dxa"/>
            <w:vMerge w:val="continue"/>
            <w:noWrap w:val="0"/>
            <w:vAlign w:val="center"/>
          </w:tcPr>
          <w:p>
            <w:pPr>
              <w:ind w:firstLine="400"/>
              <w:jc w:val="center"/>
              <w:rPr>
                <w:rFonts w:hint="eastAsia" w:ascii="仿宋_GB2312" w:hAnsi="仿宋_GB2312" w:eastAsia="仿宋_GB2312" w:cs="仿宋_GB2312"/>
                <w:sz w:val="15"/>
                <w:szCs w:val="15"/>
              </w:rPr>
            </w:pPr>
          </w:p>
        </w:tc>
        <w:tc>
          <w:tcPr>
            <w:tcW w:w="969" w:type="dxa"/>
            <w:vMerge w:val="continue"/>
            <w:noWrap w:val="0"/>
            <w:vAlign w:val="center"/>
          </w:tcPr>
          <w:p>
            <w:pPr>
              <w:ind w:firstLine="400"/>
              <w:jc w:val="center"/>
              <w:rPr>
                <w:rFonts w:hint="eastAsia" w:ascii="仿宋_GB2312" w:hAnsi="仿宋_GB2312" w:eastAsia="仿宋_GB2312" w:cs="仿宋_GB2312"/>
                <w:sz w:val="15"/>
                <w:szCs w:val="15"/>
              </w:rPr>
            </w:pPr>
          </w:p>
        </w:tc>
        <w:tc>
          <w:tcPr>
            <w:tcW w:w="816" w:type="dxa"/>
            <w:vMerge w:val="continue"/>
            <w:noWrap w:val="0"/>
            <w:vAlign w:val="center"/>
          </w:tcPr>
          <w:p>
            <w:pPr>
              <w:ind w:firstLine="400"/>
              <w:jc w:val="center"/>
              <w:rPr>
                <w:rFonts w:hint="eastAsia" w:ascii="仿宋_GB2312" w:hAnsi="仿宋_GB2312" w:eastAsia="仿宋_GB2312" w:cs="仿宋_GB2312"/>
                <w:sz w:val="15"/>
                <w:szCs w:val="15"/>
              </w:rPr>
            </w:pPr>
          </w:p>
        </w:tc>
        <w:tc>
          <w:tcPr>
            <w:tcW w:w="564" w:type="dxa"/>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规划  用途</w:t>
            </w:r>
          </w:p>
        </w:tc>
        <w:tc>
          <w:tcPr>
            <w:tcW w:w="662" w:type="dxa"/>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容积率</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（万㎡/hm²）</w:t>
            </w:r>
          </w:p>
        </w:tc>
        <w:tc>
          <w:tcPr>
            <w:tcW w:w="566" w:type="dxa"/>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绿地率</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w:t>
            </w:r>
          </w:p>
        </w:tc>
        <w:tc>
          <w:tcPr>
            <w:tcW w:w="476" w:type="dxa"/>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建筑</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密度</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w:t>
            </w:r>
          </w:p>
        </w:tc>
        <w:tc>
          <w:tcPr>
            <w:tcW w:w="389" w:type="dxa"/>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建筑</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高度</w:t>
            </w:r>
          </w:p>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（米）</w:t>
            </w:r>
          </w:p>
        </w:tc>
        <w:tc>
          <w:tcPr>
            <w:tcW w:w="462" w:type="dxa"/>
            <w:vMerge w:val="continue"/>
            <w:noWrap w:val="0"/>
            <w:vAlign w:val="center"/>
          </w:tcPr>
          <w:p>
            <w:pPr>
              <w:ind w:firstLine="400"/>
              <w:jc w:val="center"/>
              <w:rPr>
                <w:rFonts w:hint="eastAsia" w:ascii="仿宋_GB2312" w:hAnsi="仿宋_GB2312" w:eastAsia="仿宋_GB2312" w:cs="仿宋_GB2312"/>
                <w:sz w:val="15"/>
                <w:szCs w:val="15"/>
              </w:rPr>
            </w:pPr>
          </w:p>
        </w:tc>
        <w:tc>
          <w:tcPr>
            <w:tcW w:w="425" w:type="dxa"/>
            <w:vMerge w:val="continue"/>
            <w:noWrap w:val="0"/>
            <w:vAlign w:val="center"/>
          </w:tcPr>
          <w:p>
            <w:pPr>
              <w:ind w:firstLine="400"/>
              <w:jc w:val="center"/>
              <w:rPr>
                <w:rFonts w:hint="eastAsia" w:ascii="仿宋_GB2312" w:hAnsi="仿宋_GB2312" w:eastAsia="仿宋_GB2312" w:cs="仿宋_GB2312"/>
                <w:sz w:val="15"/>
                <w:szCs w:val="15"/>
              </w:rPr>
            </w:pPr>
          </w:p>
        </w:tc>
        <w:tc>
          <w:tcPr>
            <w:tcW w:w="425" w:type="dxa"/>
            <w:vMerge w:val="continue"/>
            <w:noWrap w:val="0"/>
            <w:vAlign w:val="center"/>
          </w:tcPr>
          <w:p>
            <w:pPr>
              <w:ind w:firstLine="400"/>
              <w:jc w:val="center"/>
              <w:rPr>
                <w:rFonts w:hint="eastAsia" w:ascii="仿宋_GB2312" w:hAnsi="仿宋_GB2312" w:eastAsia="仿宋_GB2312" w:cs="仿宋_GB2312"/>
                <w:sz w:val="15"/>
                <w:szCs w:val="15"/>
              </w:rPr>
            </w:pPr>
          </w:p>
        </w:tc>
        <w:tc>
          <w:tcPr>
            <w:tcW w:w="480" w:type="dxa"/>
            <w:vMerge w:val="continue"/>
            <w:noWrap w:val="0"/>
            <w:vAlign w:val="center"/>
          </w:tcPr>
          <w:p>
            <w:pPr>
              <w:ind w:firstLine="400"/>
              <w:jc w:val="center"/>
              <w:rPr>
                <w:rFonts w:hint="eastAsia" w:ascii="仿宋_GB2312" w:hAnsi="仿宋_GB2312" w:eastAsia="仿宋_GB2312" w:cs="仿宋_GB2312"/>
                <w:sz w:val="15"/>
                <w:szCs w:val="15"/>
              </w:rPr>
            </w:pPr>
          </w:p>
        </w:tc>
        <w:tc>
          <w:tcPr>
            <w:tcW w:w="493" w:type="dxa"/>
            <w:vMerge w:val="continue"/>
            <w:noWrap w:val="0"/>
            <w:vAlign w:val="center"/>
          </w:tcPr>
          <w:p>
            <w:pPr>
              <w:ind w:firstLine="400"/>
              <w:jc w:val="center"/>
              <w:rPr>
                <w:rFonts w:hint="eastAsia" w:ascii="仿宋_GB2312" w:hAnsi="仿宋_GB2312" w:eastAsia="仿宋_GB2312" w:cs="仿宋_GB2312"/>
                <w:sz w:val="15"/>
                <w:szCs w:val="15"/>
              </w:rPr>
            </w:pPr>
          </w:p>
        </w:tc>
        <w:tc>
          <w:tcPr>
            <w:tcW w:w="504" w:type="dxa"/>
            <w:vMerge w:val="continue"/>
            <w:noWrap w:val="0"/>
            <w:vAlign w:val="center"/>
          </w:tcPr>
          <w:p>
            <w:pPr>
              <w:ind w:firstLine="400"/>
              <w:jc w:val="center"/>
              <w:rPr>
                <w:rFonts w:hint="eastAsia"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4" w:hRule="atLeast"/>
        </w:trPr>
        <w:tc>
          <w:tcPr>
            <w:tcW w:w="837" w:type="dxa"/>
            <w:noWrap w:val="0"/>
            <w:vAlign w:val="center"/>
          </w:tcPr>
          <w:p>
            <w:pPr>
              <w:pStyle w:val="5"/>
              <w:spacing w:line="273" w:lineRule="atLeast"/>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gxq</w:t>
            </w:r>
            <w:r>
              <w:rPr>
                <w:rFonts w:hint="eastAsia" w:ascii="仿宋_GB2312" w:hAnsi="仿宋_GB2312" w:eastAsia="仿宋_GB2312" w:cs="仿宋_GB2312"/>
                <w:sz w:val="15"/>
                <w:szCs w:val="15"/>
              </w:rPr>
              <w:t>-202</w:t>
            </w:r>
            <w:r>
              <w:rPr>
                <w:rFonts w:hint="eastAsia" w:ascii="仿宋_GB2312" w:hAnsi="仿宋_GB2312" w:eastAsia="仿宋_GB2312" w:cs="仿宋_GB2312"/>
                <w:sz w:val="15"/>
                <w:szCs w:val="15"/>
                <w:lang w:val="en-US" w:eastAsia="zh-CN"/>
              </w:rPr>
              <w:t>4</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en-US" w:eastAsia="zh-CN"/>
              </w:rPr>
              <w:t>01</w:t>
            </w:r>
          </w:p>
        </w:tc>
        <w:tc>
          <w:tcPr>
            <w:tcW w:w="785" w:type="dxa"/>
            <w:noWrap w:val="0"/>
            <w:vAlign w:val="center"/>
          </w:tcPr>
          <w:p>
            <w:pPr>
              <w:pStyle w:val="5"/>
              <w:spacing w:line="273" w:lineRule="atLeast"/>
              <w:jc w:val="center"/>
              <w:textAlignment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DN</w:t>
            </w:r>
            <w:r>
              <w:rPr>
                <w:rFonts w:hint="eastAsia" w:ascii="仿宋_GB2312" w:hAnsi="仿宋_GB2312" w:eastAsia="仿宋_GB2312" w:cs="仿宋_GB2312"/>
                <w:sz w:val="15"/>
                <w:szCs w:val="15"/>
                <w:lang w:val="en-US" w:eastAsia="zh-CN"/>
              </w:rPr>
              <w:t>9-1-3-20</w:t>
            </w:r>
          </w:p>
        </w:tc>
        <w:tc>
          <w:tcPr>
            <w:tcW w:w="969" w:type="dxa"/>
            <w:noWrap w:val="0"/>
            <w:vAlign w:val="center"/>
          </w:tcPr>
          <w:p>
            <w:pPr>
              <w:pStyle w:val="5"/>
              <w:spacing w:line="273" w:lineRule="atLeast"/>
              <w:jc w:val="center"/>
              <w:textAlignment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平原路与滨河南路交叉口西南</w:t>
            </w:r>
          </w:p>
        </w:tc>
        <w:tc>
          <w:tcPr>
            <w:tcW w:w="816" w:type="dxa"/>
            <w:noWrap w:val="0"/>
            <w:vAlign w:val="center"/>
          </w:tcPr>
          <w:p>
            <w:pPr>
              <w:pStyle w:val="5"/>
              <w:spacing w:line="273" w:lineRule="atLeast"/>
              <w:jc w:val="center"/>
              <w:textAlignment w:val="center"/>
              <w:rPr>
                <w:rFonts w:hint="default" w:ascii="仿宋_GB2312" w:hAnsi="仿宋_GB2312" w:eastAsia="仿宋_GB2312" w:cs="仿宋_GB2312"/>
                <w:sz w:val="15"/>
                <w:szCs w:val="15"/>
                <w:lang w:val="en-US"/>
              </w:rPr>
            </w:pPr>
            <w:r>
              <w:rPr>
                <w:rFonts w:hint="default" w:ascii="仿宋_GB2312" w:hAnsi="仿宋_GB2312" w:eastAsia="仿宋_GB2312" w:cs="仿宋_GB2312"/>
                <w:sz w:val="15"/>
                <w:szCs w:val="15"/>
                <w:lang w:val="en-US"/>
              </w:rPr>
              <w:t>0.417745</w:t>
            </w:r>
          </w:p>
        </w:tc>
        <w:tc>
          <w:tcPr>
            <w:tcW w:w="564" w:type="dxa"/>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eastAsia="zh-CN"/>
              </w:rPr>
              <w:t>一类工业用地</w:t>
            </w:r>
          </w:p>
        </w:tc>
        <w:tc>
          <w:tcPr>
            <w:tcW w:w="662" w:type="dxa"/>
            <w:noWrap w:val="0"/>
            <w:vAlign w:val="center"/>
          </w:tcPr>
          <w:p>
            <w:pPr>
              <w:spacing w:line="273" w:lineRule="atLeast"/>
              <w:jc w:val="center"/>
              <w:textAlignment w:val="center"/>
              <w:rPr>
                <w:rFonts w:hint="default"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eastAsia="zh-CN"/>
              </w:rPr>
              <w:t>1.2</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en-US" w:eastAsia="zh-CN"/>
              </w:rPr>
              <w:t>FAR</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en-US" w:eastAsia="zh-CN"/>
              </w:rPr>
              <w:t>2.0</w:t>
            </w:r>
          </w:p>
        </w:tc>
        <w:tc>
          <w:tcPr>
            <w:tcW w:w="566" w:type="dxa"/>
            <w:noWrap w:val="0"/>
            <w:vAlign w:val="center"/>
          </w:tcPr>
          <w:p>
            <w:pPr>
              <w:pStyle w:val="5"/>
              <w:spacing w:line="273" w:lineRule="atLeast"/>
              <w:jc w:val="center"/>
              <w:textAlignment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en-US" w:eastAsia="zh-CN"/>
              </w:rPr>
              <w:t>Gn</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en-US" w:eastAsia="zh-CN"/>
              </w:rPr>
              <w:t>20</w:t>
            </w:r>
          </w:p>
        </w:tc>
        <w:tc>
          <w:tcPr>
            <w:tcW w:w="476" w:type="dxa"/>
            <w:noWrap w:val="0"/>
            <w:vAlign w:val="center"/>
          </w:tcPr>
          <w:p>
            <w:pPr>
              <w:pStyle w:val="5"/>
              <w:spacing w:line="273" w:lineRule="atLeast"/>
              <w:jc w:val="center"/>
              <w:textAlignment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≥40</w:t>
            </w:r>
          </w:p>
        </w:tc>
        <w:tc>
          <w:tcPr>
            <w:tcW w:w="389" w:type="dxa"/>
            <w:noWrap w:val="0"/>
            <w:vAlign w:val="center"/>
          </w:tcPr>
          <w:p>
            <w:pPr>
              <w:pStyle w:val="5"/>
              <w:spacing w:line="273" w:lineRule="atLeast"/>
              <w:jc w:val="center"/>
              <w:textAlignment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en-US" w:eastAsia="zh-CN"/>
              </w:rPr>
              <w:t>24</w:t>
            </w:r>
          </w:p>
        </w:tc>
        <w:tc>
          <w:tcPr>
            <w:tcW w:w="462" w:type="dxa"/>
            <w:noWrap w:val="0"/>
            <w:vAlign w:val="center"/>
          </w:tcPr>
          <w:p>
            <w:pPr>
              <w:pStyle w:val="5"/>
              <w:spacing w:line="273" w:lineRule="atLeast"/>
              <w:jc w:val="center"/>
              <w:textAlignment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工业</w:t>
            </w:r>
          </w:p>
          <w:p>
            <w:pPr>
              <w:pStyle w:val="5"/>
              <w:spacing w:line="273" w:lineRule="atLeast"/>
              <w:jc w:val="center"/>
              <w:textAlignment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用地50年</w:t>
            </w:r>
          </w:p>
        </w:tc>
        <w:tc>
          <w:tcPr>
            <w:tcW w:w="425" w:type="dxa"/>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净地</w:t>
            </w:r>
          </w:p>
        </w:tc>
        <w:tc>
          <w:tcPr>
            <w:tcW w:w="425" w:type="dxa"/>
            <w:noWrap w:val="0"/>
            <w:vAlign w:val="center"/>
          </w:tcPr>
          <w:p>
            <w:pPr>
              <w:pStyle w:val="5"/>
              <w:spacing w:line="273" w:lineRule="atLeast"/>
              <w:jc w:val="center"/>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无</w:t>
            </w:r>
          </w:p>
        </w:tc>
        <w:tc>
          <w:tcPr>
            <w:tcW w:w="480" w:type="dxa"/>
            <w:noWrap w:val="0"/>
            <w:vAlign w:val="center"/>
          </w:tcPr>
          <w:p>
            <w:pPr>
              <w:pStyle w:val="5"/>
              <w:spacing w:line="273" w:lineRule="atLeast"/>
              <w:jc w:val="center"/>
              <w:textAlignment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251</w:t>
            </w:r>
          </w:p>
        </w:tc>
        <w:tc>
          <w:tcPr>
            <w:tcW w:w="493" w:type="dxa"/>
            <w:noWrap w:val="0"/>
            <w:vAlign w:val="center"/>
          </w:tcPr>
          <w:p>
            <w:pPr>
              <w:pStyle w:val="5"/>
              <w:spacing w:line="273" w:lineRule="atLeast"/>
              <w:jc w:val="center"/>
              <w:textAlignment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251</w:t>
            </w:r>
          </w:p>
        </w:tc>
        <w:tc>
          <w:tcPr>
            <w:tcW w:w="504" w:type="dxa"/>
            <w:noWrap w:val="0"/>
            <w:vAlign w:val="center"/>
          </w:tcPr>
          <w:p>
            <w:pPr>
              <w:pStyle w:val="5"/>
              <w:spacing w:line="273" w:lineRule="atLeast"/>
              <w:jc w:val="center"/>
              <w:textAlignment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exact"/>
        </w:trPr>
        <w:tc>
          <w:tcPr>
            <w:tcW w:w="8853" w:type="dxa"/>
            <w:gridSpan w:val="15"/>
            <w:noWrap w:val="0"/>
            <w:vAlign w:val="center"/>
          </w:tcPr>
          <w:p>
            <w:pPr>
              <w:pStyle w:val="5"/>
              <w:spacing w:line="273" w:lineRule="atLeast"/>
              <w:jc w:val="both"/>
              <w:textAlignment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备注：1.土地面积以实际测量为准。2.</w:t>
            </w:r>
            <w:r>
              <w:rPr>
                <w:rFonts w:hint="eastAsia" w:ascii="仿宋_GB2312" w:hAnsi="仿宋_GB2312" w:eastAsia="仿宋_GB2312" w:cs="仿宋_GB2312"/>
                <w:sz w:val="15"/>
                <w:szCs w:val="15"/>
                <w:lang w:val="en-US" w:eastAsia="zh-CN"/>
              </w:rPr>
              <w:t>规划指标以规划条件通知书为准</w:t>
            </w:r>
            <w:r>
              <w:rPr>
                <w:rFonts w:hint="eastAsia" w:ascii="仿宋_GB2312" w:hAnsi="仿宋_GB2312" w:eastAsia="仿宋_GB2312" w:cs="仿宋_GB2312"/>
                <w:sz w:val="15"/>
                <w:szCs w:val="15"/>
              </w:rPr>
              <w:t>。</w:t>
            </w:r>
          </w:p>
        </w:tc>
      </w:tr>
    </w:tbl>
    <w:p>
      <w:pPr>
        <w:pStyle w:val="6"/>
        <w:spacing w:line="540" w:lineRule="exact"/>
        <w:ind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kern w:val="2"/>
          <w:sz w:val="32"/>
          <w:szCs w:val="32"/>
        </w:rPr>
        <w:t>本次出让提供《规划条件</w:t>
      </w:r>
      <w:r>
        <w:rPr>
          <w:rFonts w:hint="eastAsia" w:ascii="仿宋_GB2312" w:hAnsi="仿宋_GB2312" w:eastAsia="仿宋_GB2312" w:cs="仿宋_GB2312"/>
          <w:spacing w:val="-1"/>
          <w:kern w:val="2"/>
          <w:sz w:val="32"/>
          <w:szCs w:val="32"/>
          <w:lang w:eastAsia="zh-CN"/>
        </w:rPr>
        <w:t>通知</w:t>
      </w:r>
      <w:r>
        <w:rPr>
          <w:rFonts w:hint="eastAsia" w:ascii="仿宋_GB2312" w:hAnsi="仿宋_GB2312" w:eastAsia="仿宋_GB2312" w:cs="仿宋_GB2312"/>
          <w:spacing w:val="-1"/>
          <w:kern w:val="2"/>
          <w:sz w:val="32"/>
          <w:szCs w:val="32"/>
        </w:rPr>
        <w:t>书》及附图（编号</w:t>
      </w:r>
      <w:r>
        <w:rPr>
          <w:rFonts w:hint="eastAsia" w:ascii="仿宋_GB2312" w:hAnsi="仿宋_GB2312" w:eastAsia="仿宋_GB2312" w:cs="仿宋_GB2312"/>
          <w:sz w:val="32"/>
          <w:szCs w:val="32"/>
        </w:rPr>
        <w:t>：41050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2024TJ00000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）。竞买人竞得该地块后需严格按照地块的规划指标进行建设。</w:t>
      </w:r>
    </w:p>
    <w:p>
      <w:pPr>
        <w:pStyle w:val="6"/>
        <w:spacing w:line="540" w:lineRule="exact"/>
        <w:ind w:firstLine="632"/>
        <w:jc w:val="both"/>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依据《安阳市人民政府办公室关于推行工业用地“标准地”出让的实施意见》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该宗地出让采用“标准地”模式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即在</w:t>
      </w:r>
      <w:r>
        <w:rPr>
          <w:rFonts w:hint="eastAsia" w:eastAsia="仿宋_GB2312" w:cs="Times New Roman"/>
          <w:sz w:val="32"/>
          <w:szCs w:val="32"/>
          <w:lang w:val="en-US" w:eastAsia="zh-CN"/>
        </w:rPr>
        <w:t>拍卖</w:t>
      </w:r>
      <w:bookmarkStart w:id="0" w:name="_GoBack"/>
      <w:bookmarkEnd w:id="0"/>
      <w:r>
        <w:rPr>
          <w:rFonts w:hint="default" w:ascii="Times New Roman" w:hAnsi="Times New Roman" w:eastAsia="仿宋_GB2312" w:cs="Times New Roman"/>
          <w:sz w:val="32"/>
          <w:szCs w:val="32"/>
          <w:lang w:val="en-US" w:eastAsia="zh-CN"/>
        </w:rPr>
        <w:t>中明确“3+N+1”指标控制体系(</w:t>
      </w:r>
      <w:r>
        <w:rPr>
          <w:rFonts w:hint="default" w:ascii="Times New Roman" w:hAnsi="Times New Roman" w:eastAsia="仿宋_GB2312" w:cs="Times New Roman"/>
          <w:sz w:val="32"/>
          <w:szCs w:val="32"/>
        </w:rPr>
        <w:t>“3”即容积率</w:t>
      </w:r>
      <w:r>
        <w:rPr>
          <w:rFonts w:hint="eastAsia" w:ascii="Times New Roman" w:hAnsi="Times New Roman" w:eastAsia="仿宋_GB2312" w:cs="Times New Roman"/>
          <w:sz w:val="32"/>
          <w:szCs w:val="32"/>
          <w:lang w:val="en-US" w:eastAsia="zh-CN"/>
        </w:rPr>
        <w:t>不小于1.2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固定资产投资强度不低于200万元/亩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亩均税收不低于20万元/亩。“N”即年用电量不超过480万度电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行政办公及生活服务设施用地面积不得超过总用地面积的5%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建筑面积不得超过总建筑面积的10%；行业准入类型为装备制造、先进钢铁材料（先进高分子材料）、电子信息。“1”即出让年期50年</w:t>
      </w:r>
      <w:r>
        <w:rPr>
          <w:rFonts w:hint="default" w:ascii="Times New Roman" w:hAnsi="Times New Roman" w:eastAsia="仿宋_GB2312" w:cs="Times New Roman"/>
          <w:sz w:val="32"/>
          <w:szCs w:val="32"/>
          <w:lang w:val="en-US" w:eastAsia="zh-CN"/>
        </w:rPr>
        <w:t>)。由安阳高新技术产业开发区峨嵋园区（微特电机园区）运营中心与竞得单位签定《履约监管协议》，并作为签订出让合同的前置条件在公告中发布，超前明确土地绩效标准和产业发展导向，自动筛选优质企业，实现产业高质量发展。</w:t>
      </w:r>
    </w:p>
    <w:p>
      <w:pPr>
        <w:spacing w:line="540" w:lineRule="exact"/>
        <w:ind w:firstLine="639" w:firstLineChars="200"/>
        <w:rPr>
          <w:rFonts w:hint="eastAsia" w:ascii="仿宋_GB2312" w:hAnsi="仿宋_GB2312" w:eastAsia="仿宋_GB2312" w:cs="仿宋_GB2312"/>
          <w:b/>
          <w:bCs w:val="0"/>
          <w:spacing w:val="-1"/>
          <w:sz w:val="32"/>
          <w:szCs w:val="32"/>
        </w:rPr>
      </w:pPr>
      <w:r>
        <w:rPr>
          <w:rFonts w:hint="eastAsia" w:ascii="仿宋_GB2312" w:hAnsi="仿宋_GB2312" w:eastAsia="仿宋_GB2312" w:cs="仿宋_GB2312"/>
          <w:b/>
          <w:bCs w:val="0"/>
          <w:spacing w:val="-1"/>
          <w:sz w:val="32"/>
          <w:szCs w:val="32"/>
        </w:rPr>
        <w:t>二、竞买申请条件及要求</w:t>
      </w:r>
    </w:p>
    <w:p>
      <w:pPr>
        <w:pStyle w:val="7"/>
        <w:spacing w:line="580" w:lineRule="exact"/>
        <w:ind w:firstLine="632" w:firstLineChars="200"/>
        <w:rPr>
          <w:rFonts w:hint="eastAsia" w:ascii="黑体" w:eastAsia="黑体"/>
          <w:color w:val="000000"/>
          <w:spacing w:val="-2"/>
          <w:sz w:val="32"/>
          <w:szCs w:val="32"/>
        </w:rPr>
      </w:pPr>
      <w:r>
        <w:rPr>
          <w:rFonts w:hint="eastAsia" w:ascii="仿宋_GB2312" w:eastAsia="仿宋_GB2312"/>
          <w:color w:val="000000"/>
          <w:spacing w:val="-2"/>
          <w:sz w:val="32"/>
          <w:szCs w:val="32"/>
        </w:rPr>
        <w:t>中华人民共和国境内外的法人、自然人和其他组织，除法律法规另有规定外，均可按照出让文件规定参加竞买。申请人可以单独申请，也可以联合申请。凡有欠缴土地价款和非法集资行为的单位和个人以及被人民法院列入失信被执行人的，不得参加竞买。</w:t>
      </w:r>
    </w:p>
    <w:p>
      <w:pPr>
        <w:spacing w:line="540" w:lineRule="exact"/>
        <w:ind w:firstLine="639" w:firstLineChars="200"/>
        <w:rPr>
          <w:rFonts w:hint="eastAsia" w:ascii="仿宋_GB2312" w:hAnsi="仿宋_GB2312" w:eastAsia="仿宋_GB2312" w:cs="仿宋_GB2312"/>
          <w:b/>
          <w:bCs w:val="0"/>
          <w:spacing w:val="-1"/>
          <w:sz w:val="32"/>
          <w:szCs w:val="32"/>
        </w:rPr>
      </w:pPr>
      <w:r>
        <w:rPr>
          <w:rFonts w:hint="eastAsia" w:ascii="仿宋_GB2312" w:hAnsi="仿宋_GB2312" w:eastAsia="仿宋_GB2312" w:cs="仿宋_GB2312"/>
          <w:b/>
          <w:bCs w:val="0"/>
          <w:spacing w:val="-1"/>
          <w:sz w:val="32"/>
          <w:szCs w:val="32"/>
        </w:rPr>
        <w:t>三、确定竞得入选人方式</w:t>
      </w:r>
    </w:p>
    <w:p>
      <w:pPr>
        <w:spacing w:line="540" w:lineRule="exact"/>
        <w:ind w:left="15"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本次国有建设用地使用权网上拍卖出让按照价高者得原则确定竞得入选人。</w:t>
      </w:r>
    </w:p>
    <w:p>
      <w:pPr>
        <w:spacing w:line="540" w:lineRule="exact"/>
        <w:ind w:left="15" w:firstLine="607" w:firstLineChars="18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四、报名及保证金截止时间</w:t>
      </w:r>
    </w:p>
    <w:p>
      <w:pPr>
        <w:spacing w:line="540" w:lineRule="exact"/>
        <w:ind w:left="15" w:firstLine="604" w:firstLineChars="189"/>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竞买申请人可登陆河南省土地使用权网上交易系统（以下简称网上交易系统），提交竞买申请及交纳竞买保证金。网上竞买申请提交及竞买保证金到账时间为</w:t>
      </w:r>
      <w:r>
        <w:rPr>
          <w:rFonts w:hint="eastAsia" w:ascii="仿宋_GB2312" w:hAnsi="仿宋_GB2312" w:eastAsia="仿宋_GB2312" w:cs="仿宋_GB2312"/>
          <w:color w:val="0000FF"/>
          <w:sz w:val="32"/>
          <w:szCs w:val="32"/>
        </w:rPr>
        <w:t>202</w:t>
      </w:r>
      <w:r>
        <w:rPr>
          <w:rFonts w:hint="eastAsia" w:ascii="仿宋_GB2312" w:hAnsi="仿宋_GB2312" w:eastAsia="仿宋_GB2312" w:cs="仿宋_GB2312"/>
          <w:color w:val="0000FF"/>
          <w:sz w:val="32"/>
          <w:szCs w:val="32"/>
          <w:lang w:val="en-US" w:eastAsia="zh-CN"/>
        </w:rPr>
        <w:t>4</w:t>
      </w:r>
      <w:r>
        <w:rPr>
          <w:rFonts w:hint="eastAsia" w:ascii="仿宋_GB2312" w:hAnsi="仿宋_GB2312" w:eastAsia="仿宋_GB2312" w:cs="仿宋_GB2312"/>
          <w:color w:val="0000FF"/>
          <w:sz w:val="32"/>
          <w:szCs w:val="32"/>
        </w:rPr>
        <w:t>年</w:t>
      </w:r>
      <w:r>
        <w:rPr>
          <w:rFonts w:hint="eastAsia" w:ascii="仿宋_GB2312" w:hAnsi="仿宋_GB2312" w:eastAsia="仿宋_GB2312" w:cs="仿宋_GB2312"/>
          <w:color w:val="0000FF"/>
          <w:sz w:val="32"/>
          <w:szCs w:val="32"/>
          <w:lang w:val="en-US" w:eastAsia="zh-CN"/>
        </w:rPr>
        <w:t>7</w:t>
      </w:r>
      <w:r>
        <w:rPr>
          <w:rFonts w:hint="eastAsia" w:ascii="仿宋_GB2312" w:hAnsi="仿宋_GB2312" w:eastAsia="仿宋_GB2312" w:cs="仿宋_GB2312"/>
          <w:color w:val="0000FF"/>
          <w:sz w:val="32"/>
          <w:szCs w:val="32"/>
        </w:rPr>
        <w:t>月</w:t>
      </w:r>
      <w:r>
        <w:rPr>
          <w:rFonts w:hint="eastAsia" w:ascii="仿宋_GB2312" w:hAnsi="仿宋_GB2312" w:eastAsia="仿宋_GB2312" w:cs="仿宋_GB2312"/>
          <w:color w:val="0000FF"/>
          <w:sz w:val="32"/>
          <w:szCs w:val="32"/>
          <w:lang w:val="en-US" w:eastAsia="zh-CN"/>
        </w:rPr>
        <w:t>8</w:t>
      </w:r>
      <w:r>
        <w:rPr>
          <w:rFonts w:hint="eastAsia" w:ascii="仿宋_GB2312" w:hAnsi="仿宋_GB2312" w:eastAsia="仿宋_GB2312" w:cs="仿宋_GB2312"/>
          <w:color w:val="0000FF"/>
          <w:sz w:val="32"/>
          <w:szCs w:val="32"/>
        </w:rPr>
        <w:t>日8时至202</w:t>
      </w:r>
      <w:r>
        <w:rPr>
          <w:rFonts w:hint="eastAsia" w:ascii="仿宋_GB2312" w:hAnsi="仿宋_GB2312" w:eastAsia="仿宋_GB2312" w:cs="仿宋_GB2312"/>
          <w:color w:val="0000FF"/>
          <w:sz w:val="32"/>
          <w:szCs w:val="32"/>
          <w:lang w:val="en-US" w:eastAsia="zh-CN"/>
        </w:rPr>
        <w:t>4</w:t>
      </w:r>
      <w:r>
        <w:rPr>
          <w:rFonts w:hint="eastAsia" w:ascii="仿宋_GB2312" w:hAnsi="仿宋_GB2312" w:eastAsia="仿宋_GB2312" w:cs="仿宋_GB2312"/>
          <w:color w:val="0000FF"/>
          <w:sz w:val="32"/>
          <w:szCs w:val="32"/>
        </w:rPr>
        <w:t>年</w:t>
      </w:r>
      <w:r>
        <w:rPr>
          <w:rFonts w:hint="eastAsia" w:ascii="仿宋_GB2312" w:hAnsi="仿宋_GB2312" w:eastAsia="仿宋_GB2312" w:cs="仿宋_GB2312"/>
          <w:color w:val="0000FF"/>
          <w:sz w:val="32"/>
          <w:szCs w:val="32"/>
          <w:lang w:val="en-US" w:eastAsia="zh-CN"/>
        </w:rPr>
        <w:t>7</w:t>
      </w:r>
      <w:r>
        <w:rPr>
          <w:rFonts w:hint="eastAsia" w:ascii="仿宋_GB2312" w:hAnsi="仿宋_GB2312" w:eastAsia="仿宋_GB2312" w:cs="仿宋_GB2312"/>
          <w:color w:val="0000FF"/>
          <w:sz w:val="32"/>
          <w:szCs w:val="32"/>
        </w:rPr>
        <w:t>月</w:t>
      </w:r>
      <w:r>
        <w:rPr>
          <w:rFonts w:hint="eastAsia" w:ascii="仿宋_GB2312" w:hAnsi="仿宋_GB2312" w:eastAsia="仿宋_GB2312" w:cs="仿宋_GB2312"/>
          <w:color w:val="0000FF"/>
          <w:sz w:val="32"/>
          <w:szCs w:val="32"/>
          <w:lang w:val="en-US" w:eastAsia="zh-CN"/>
        </w:rPr>
        <w:t>17</w:t>
      </w:r>
      <w:r>
        <w:rPr>
          <w:rFonts w:hint="eastAsia" w:ascii="仿宋_GB2312" w:hAnsi="仿宋_GB2312" w:eastAsia="仿宋_GB2312" w:cs="仿宋_GB2312"/>
          <w:color w:val="0000FF"/>
          <w:sz w:val="32"/>
          <w:szCs w:val="32"/>
        </w:rPr>
        <w:t>日16时。</w:t>
      </w:r>
    </w:p>
    <w:p>
      <w:pPr>
        <w:spacing w:line="540" w:lineRule="exact"/>
        <w:ind w:left="15" w:firstLine="607" w:firstLineChars="18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温馨提示：为避免因竞买保证金到账时间延误，影响您顺利获取网上交易竞买资格，建议您在保证金到账截止时间的1至2天之前交纳竞买保证金。</w:t>
      </w:r>
    </w:p>
    <w:p>
      <w:pPr>
        <w:spacing w:line="540" w:lineRule="exact"/>
        <w:ind w:left="15" w:firstLine="607" w:firstLineChars="18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五、拍卖时间及网址</w:t>
      </w:r>
    </w:p>
    <w:p>
      <w:pPr>
        <w:spacing w:line="540" w:lineRule="exact"/>
        <w:ind w:left="14" w:leftChars="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网上拍卖开始时间为</w:t>
      </w:r>
      <w:r>
        <w:rPr>
          <w:rFonts w:hint="eastAsia" w:ascii="仿宋_GB2312" w:hAnsi="仿宋_GB2312" w:eastAsia="仿宋_GB2312" w:cs="仿宋_GB2312"/>
          <w:color w:val="0000FF"/>
          <w:sz w:val="32"/>
          <w:szCs w:val="32"/>
        </w:rPr>
        <w:t>202</w:t>
      </w:r>
      <w:r>
        <w:rPr>
          <w:rFonts w:hint="eastAsia" w:ascii="仿宋_GB2312" w:hAnsi="仿宋_GB2312" w:eastAsia="仿宋_GB2312" w:cs="仿宋_GB2312"/>
          <w:color w:val="0000FF"/>
          <w:sz w:val="32"/>
          <w:szCs w:val="32"/>
          <w:lang w:val="en-US" w:eastAsia="zh-CN"/>
        </w:rPr>
        <w:t>4</w:t>
      </w:r>
      <w:r>
        <w:rPr>
          <w:rFonts w:hint="eastAsia" w:ascii="仿宋_GB2312" w:hAnsi="仿宋_GB2312" w:eastAsia="仿宋_GB2312" w:cs="仿宋_GB2312"/>
          <w:color w:val="0000FF"/>
          <w:sz w:val="32"/>
          <w:szCs w:val="32"/>
        </w:rPr>
        <w:t>年</w:t>
      </w:r>
      <w:r>
        <w:rPr>
          <w:rFonts w:hint="eastAsia" w:ascii="仿宋_GB2312" w:hAnsi="仿宋_GB2312" w:eastAsia="仿宋_GB2312" w:cs="仿宋_GB2312"/>
          <w:color w:val="0000FF"/>
          <w:sz w:val="32"/>
          <w:szCs w:val="32"/>
          <w:lang w:val="en-US" w:eastAsia="zh-CN"/>
        </w:rPr>
        <w:t>7</w:t>
      </w:r>
      <w:r>
        <w:rPr>
          <w:rFonts w:hint="eastAsia" w:ascii="仿宋_GB2312" w:hAnsi="仿宋_GB2312" w:eastAsia="仿宋_GB2312" w:cs="仿宋_GB2312"/>
          <w:color w:val="0000FF"/>
          <w:sz w:val="32"/>
          <w:szCs w:val="32"/>
        </w:rPr>
        <w:t>月</w:t>
      </w:r>
      <w:r>
        <w:rPr>
          <w:rFonts w:hint="eastAsia" w:ascii="仿宋_GB2312" w:hAnsi="仿宋_GB2312" w:eastAsia="仿宋_GB2312" w:cs="仿宋_GB2312"/>
          <w:color w:val="0000FF"/>
          <w:sz w:val="32"/>
          <w:szCs w:val="32"/>
          <w:lang w:val="en-US" w:eastAsia="zh-CN"/>
        </w:rPr>
        <w:t>18</w:t>
      </w:r>
      <w:r>
        <w:rPr>
          <w:rFonts w:hint="eastAsia" w:ascii="仿宋_GB2312" w:hAnsi="仿宋_GB2312" w:eastAsia="仿宋_GB2312" w:cs="仿宋_GB2312"/>
          <w:color w:val="0000FF"/>
          <w:sz w:val="32"/>
          <w:szCs w:val="32"/>
        </w:rPr>
        <w:t>日</w:t>
      </w:r>
      <w:r>
        <w:rPr>
          <w:rFonts w:hint="eastAsia" w:ascii="仿宋_GB2312" w:hAnsi="仿宋_GB2312" w:eastAsia="仿宋_GB2312" w:cs="仿宋_GB2312"/>
          <w:color w:val="0000FF"/>
          <w:sz w:val="32"/>
          <w:szCs w:val="32"/>
          <w:lang w:val="en-US" w:eastAsia="zh-CN"/>
        </w:rPr>
        <w:t>9</w:t>
      </w:r>
      <w:r>
        <w:rPr>
          <w:rFonts w:hint="eastAsia" w:ascii="仿宋_GB2312" w:hAnsi="仿宋_GB2312" w:eastAsia="仿宋_GB2312" w:cs="仿宋_GB2312"/>
          <w:color w:val="0000FF"/>
          <w:sz w:val="32"/>
          <w:szCs w:val="32"/>
        </w:rPr>
        <w:t>时。</w:t>
      </w:r>
    </w:p>
    <w:p>
      <w:pPr>
        <w:spacing w:line="540" w:lineRule="exact"/>
        <w:ind w:left="15" w:firstLine="604" w:firstLineChars="18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网址：河南省土地使用权网上交易系统（</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"http://www.hn"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http://t</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d.hnggzy.com）</w:t>
      </w:r>
    </w:p>
    <w:p>
      <w:pPr>
        <w:spacing w:line="540" w:lineRule="exact"/>
        <w:ind w:left="15" w:firstLine="607" w:firstLineChars="18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六、出让资料获取方式</w:t>
      </w:r>
    </w:p>
    <w:p>
      <w:pPr>
        <w:spacing w:line="540" w:lineRule="exact"/>
        <w:ind w:firstLine="615"/>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本次拍卖出让的详细资料和具体要求，见拍卖出让须知及出让文件。拍卖出让须知及出让文件可从网上交易系统查看和打印。</w:t>
      </w:r>
    </w:p>
    <w:p>
      <w:pPr>
        <w:spacing w:line="540" w:lineRule="exact"/>
        <w:ind w:left="15" w:firstLine="607" w:firstLineChars="18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七、资格审查</w:t>
      </w:r>
    </w:p>
    <w:p>
      <w:pPr>
        <w:spacing w:line="54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国有建设用地使用权网上出让实行竞得入选人资格后审制度，即竞买申请人在网上交易系统按规定提交竞买申请并按时足额交纳了竞买保证金后，网上交易系统将自动颁发《竞买资格确认书》，确认其竞买资格。拍卖人对网上交易的竞得入选人进行资格审查。如因竞得入选人的资格审查未通过，造成本次出让地块不成交的，由竞得入选人自行承担相应责任。</w:t>
      </w:r>
    </w:p>
    <w:p>
      <w:pPr>
        <w:spacing w:line="540" w:lineRule="exact"/>
        <w:ind w:left="15" w:firstLine="607" w:firstLineChars="18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八、风险提示</w:t>
      </w:r>
    </w:p>
    <w:p>
      <w:pPr>
        <w:spacing w:line="540" w:lineRule="exact"/>
        <w:ind w:left="15"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竞买人应该谨慎报价，报价一经提交，不得修改或者撤回。</w:t>
      </w:r>
    </w:p>
    <w:p>
      <w:pPr>
        <w:spacing w:line="540" w:lineRule="exact"/>
        <w:ind w:left="15" w:firstLine="604" w:firstLineChars="18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操作系统请使用</w:t>
      </w:r>
      <w:r>
        <w:rPr>
          <w:rFonts w:hint="eastAsia" w:ascii="仿宋_GB2312" w:hAnsi="仿宋_GB2312" w:eastAsia="仿宋_GB2312" w:cs="仿宋_GB2312"/>
          <w:bCs/>
          <w:kern w:val="0"/>
          <w:sz w:val="32"/>
          <w:szCs w:val="32"/>
        </w:rPr>
        <w:t>WinXP/Win7/ Win8；浏览器请使用IE8.0、IE9.0、IE10，其它操作系统与浏览器可能会影响您正常参与网上交易活动。</w:t>
      </w:r>
      <w:r>
        <w:rPr>
          <w:rFonts w:hint="eastAsia" w:ascii="仿宋_GB2312" w:hAnsi="仿宋_GB2312" w:eastAsia="仿宋_GB2312" w:cs="仿宋_GB2312"/>
          <w:sz w:val="32"/>
          <w:szCs w:val="32"/>
        </w:rPr>
        <w:t>申请人需办理数字证书认证手续方可登录网上交易系统。</w:t>
      </w:r>
      <w:r>
        <w:rPr>
          <w:rFonts w:hint="eastAsia" w:ascii="仿宋_GB2312" w:hAnsi="仿宋_GB2312" w:eastAsia="仿宋_GB2312" w:cs="仿宋_GB2312"/>
          <w:bCs/>
          <w:kern w:val="0"/>
          <w:sz w:val="32"/>
          <w:szCs w:val="32"/>
        </w:rPr>
        <w:t>数字证书驱动请到河南CA官方网站下载，并正确安装。请竞买人在竞买前仔细检查好自己电脑的运行环境，并先到网上交易模拟系统练习，以免影响您的报价、竞价。</w:t>
      </w:r>
    </w:p>
    <w:p>
      <w:pPr>
        <w:spacing w:line="540" w:lineRule="exact"/>
        <w:ind w:firstLine="615"/>
        <w:rPr>
          <w:rFonts w:hint="eastAsia" w:ascii="仿宋_GB2312" w:hAnsi="仿宋_GB2312" w:eastAsia="仿宋_GB2312" w:cs="仿宋_GB2312"/>
          <w:bCs/>
          <w:spacing w:val="-1"/>
          <w:sz w:val="32"/>
          <w:szCs w:val="32"/>
        </w:rPr>
      </w:pPr>
      <w:r>
        <w:rPr>
          <w:rFonts w:hint="eastAsia" w:ascii="仿宋_GB2312" w:hAnsi="仿宋_GB2312" w:eastAsia="仿宋_GB2312" w:cs="仿宋_GB2312"/>
          <w:bCs/>
          <w:spacing w:val="-1"/>
          <w:sz w:val="32"/>
          <w:szCs w:val="32"/>
        </w:rPr>
        <w:t>竞买人需全面了解并遵守《河南省国有建设用地使用权网上交易管理办法》、《河南省国土资源网上交易系统用户手册》等相关规定。</w:t>
      </w:r>
    </w:p>
    <w:p>
      <w:pPr>
        <w:spacing w:line="540" w:lineRule="exact"/>
        <w:ind w:firstLine="615"/>
        <w:rPr>
          <w:rFonts w:hint="eastAsia" w:ascii="仿宋_GB2312" w:hAnsi="仿宋_GB2312" w:eastAsia="仿宋_GB2312" w:cs="仿宋_GB2312"/>
          <w:bCs/>
          <w:spacing w:val="-1"/>
          <w:sz w:val="32"/>
          <w:szCs w:val="32"/>
        </w:rPr>
      </w:pPr>
      <w:r>
        <w:rPr>
          <w:rFonts w:hint="eastAsia" w:ascii="仿宋_GB2312" w:hAnsi="仿宋_GB2312" w:eastAsia="仿宋_GB2312" w:cs="仿宋_GB2312"/>
          <w:bCs/>
          <w:spacing w:val="-1"/>
          <w:sz w:val="32"/>
          <w:szCs w:val="32"/>
        </w:rPr>
        <w:t>其他事宜详见出让文件。</w:t>
      </w:r>
    </w:p>
    <w:p>
      <w:pPr>
        <w:spacing w:line="540" w:lineRule="exact"/>
        <w:rPr>
          <w:rFonts w:hint="eastAsia" w:ascii="仿宋_GB2312" w:hAnsi="仿宋_GB2312" w:eastAsia="仿宋_GB2312" w:cs="仿宋_GB2312"/>
          <w:b/>
          <w:spacing w:val="-1"/>
          <w:sz w:val="32"/>
          <w:szCs w:val="32"/>
        </w:rPr>
      </w:pPr>
      <w:r>
        <w:rPr>
          <w:rFonts w:hint="eastAsia" w:ascii="仿宋_GB2312" w:hAnsi="仿宋_GB2312" w:eastAsia="仿宋_GB2312" w:cs="仿宋_GB2312"/>
          <w:b/>
          <w:spacing w:val="-1"/>
          <w:sz w:val="32"/>
          <w:szCs w:val="32"/>
        </w:rPr>
        <w:t xml:space="preserve">    九、联系方式</w:t>
      </w:r>
    </w:p>
    <w:p>
      <w:pPr>
        <w:spacing w:line="540" w:lineRule="exact"/>
        <w:ind w:left="2226" w:hanging="2226" w:hangingChars="70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xml:space="preserve">    地    址：安阳市解放大道108号院三楼        </w:t>
      </w:r>
    </w:p>
    <w:p>
      <w:pPr>
        <w:spacing w:line="540" w:lineRule="exact"/>
        <w:ind w:firstLine="632"/>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联 系 人：</w:t>
      </w:r>
      <w:r>
        <w:rPr>
          <w:rFonts w:hint="eastAsia" w:ascii="仿宋_GB2312" w:hAnsi="仿宋_GB2312" w:eastAsia="仿宋_GB2312" w:cs="仿宋_GB2312"/>
          <w:spacing w:val="-1"/>
          <w:sz w:val="32"/>
          <w:szCs w:val="32"/>
          <w:lang w:val="en-US" w:eastAsia="zh-CN"/>
        </w:rPr>
        <w:t>侯</w:t>
      </w:r>
      <w:r>
        <w:rPr>
          <w:rFonts w:hint="eastAsia" w:ascii="仿宋_GB2312" w:hAnsi="仿宋_GB2312" w:eastAsia="仿宋_GB2312" w:cs="仿宋_GB2312"/>
          <w:spacing w:val="-1"/>
          <w:sz w:val="32"/>
          <w:szCs w:val="32"/>
          <w:lang w:eastAsia="zh-CN"/>
        </w:rPr>
        <w:t>先生</w:t>
      </w:r>
      <w:r>
        <w:rPr>
          <w:rFonts w:hint="eastAsia" w:ascii="仿宋_GB2312" w:hAnsi="仿宋_GB2312" w:eastAsia="仿宋_GB2312" w:cs="仿宋_GB2312"/>
          <w:spacing w:val="-1"/>
          <w:sz w:val="32"/>
          <w:szCs w:val="32"/>
          <w:lang w:val="en-US" w:eastAsia="zh-CN"/>
        </w:rPr>
        <w:t xml:space="preserve">   </w:t>
      </w:r>
    </w:p>
    <w:p>
      <w:pPr>
        <w:spacing w:line="540" w:lineRule="exact"/>
        <w:ind w:firstLine="632"/>
        <w:rPr>
          <w:rFonts w:hint="eastAsia" w:ascii="仿宋" w:hAnsi="仿宋" w:eastAsia="仿宋" w:cs="仿宋_GB2312"/>
          <w:spacing w:val="-1"/>
          <w:sz w:val="32"/>
          <w:szCs w:val="32"/>
          <w:lang w:val="en-US" w:eastAsia="zh-CN"/>
        </w:rPr>
      </w:pPr>
      <w:r>
        <w:rPr>
          <w:rFonts w:hint="eastAsia" w:ascii="仿宋" w:hAnsi="仿宋" w:eastAsia="仿宋" w:cs="仿宋_GB2312"/>
          <w:spacing w:val="-1"/>
          <w:sz w:val="32"/>
          <w:szCs w:val="32"/>
        </w:rPr>
        <w:t>联系电话：0372-</w:t>
      </w:r>
      <w:r>
        <w:rPr>
          <w:rFonts w:hint="eastAsia" w:ascii="仿宋" w:hAnsi="仿宋" w:eastAsia="仿宋" w:cs="仿宋_GB2312"/>
          <w:spacing w:val="-1"/>
          <w:sz w:val="32"/>
          <w:szCs w:val="32"/>
          <w:lang w:val="en-US" w:eastAsia="zh-CN"/>
        </w:rPr>
        <w:t>3807724</w:t>
      </w:r>
    </w:p>
    <w:p>
      <w:pPr>
        <w:spacing w:line="540" w:lineRule="exact"/>
        <w:ind w:firstLine="632"/>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xml:space="preserve">监督电话：0372-2215675  </w:t>
      </w:r>
    </w:p>
    <w:p>
      <w:pPr>
        <w:spacing w:line="540" w:lineRule="exact"/>
        <w:rPr>
          <w:rFonts w:hint="eastAsia" w:ascii="仿宋_GB2312" w:hAnsi="仿宋_GB2312" w:eastAsia="仿宋_GB2312" w:cs="仿宋_GB2312"/>
          <w:sz w:val="24"/>
          <w:szCs w:val="24"/>
        </w:rPr>
      </w:pPr>
      <w:r>
        <w:rPr>
          <w:rFonts w:hint="eastAsia" w:ascii="仿宋_GB2312" w:hAnsi="仿宋_GB2312" w:eastAsia="仿宋_GB2312" w:cs="仿宋_GB2312"/>
          <w:spacing w:val="-1"/>
          <w:sz w:val="32"/>
          <w:szCs w:val="32"/>
        </w:rPr>
        <w:t xml:space="preserve">    网    址：</w:t>
      </w:r>
      <w:r>
        <w:rPr>
          <w:rFonts w:hint="eastAsia" w:ascii="仿宋_GB2312" w:hAnsi="仿宋_GB2312" w:eastAsia="仿宋_GB2312" w:cs="仿宋_GB2312"/>
          <w:sz w:val="24"/>
          <w:szCs w:val="24"/>
        </w:rPr>
        <w:t>http://www.landchina.com/（中国土地市场网）</w:t>
      </w:r>
    </w:p>
    <w:p>
      <w:pPr>
        <w:pStyle w:val="7"/>
        <w:spacing w:line="540" w:lineRule="exact"/>
        <w:ind w:left="0"/>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                   </w:t>
      </w:r>
      <w:r>
        <w:rPr>
          <w:rFonts w:hint="eastAsia" w:ascii="仿宋_GB2312" w:hAnsi="仿宋_GB2312" w:eastAsia="仿宋_GB2312" w:cs="仿宋_GB2312"/>
          <w:spacing w:val="-1"/>
          <w:sz w:val="24"/>
          <w:szCs w:val="24"/>
        </w:rPr>
        <w:fldChar w:fldCharType="begin"/>
      </w:r>
      <w:r>
        <w:rPr>
          <w:rFonts w:hint="eastAsia" w:ascii="仿宋_GB2312" w:hAnsi="仿宋_GB2312" w:eastAsia="仿宋_GB2312" w:cs="仿宋_GB2312"/>
          <w:spacing w:val="-1"/>
          <w:sz w:val="24"/>
          <w:szCs w:val="24"/>
        </w:rPr>
        <w:instrText xml:space="preserve"> HYPERLINK "http://www.hn" </w:instrText>
      </w:r>
      <w:r>
        <w:rPr>
          <w:rFonts w:hint="eastAsia" w:ascii="仿宋_GB2312" w:hAnsi="仿宋_GB2312" w:eastAsia="仿宋_GB2312" w:cs="仿宋_GB2312"/>
          <w:spacing w:val="-1"/>
          <w:sz w:val="24"/>
          <w:szCs w:val="24"/>
        </w:rPr>
        <w:fldChar w:fldCharType="separate"/>
      </w:r>
      <w:r>
        <w:rPr>
          <w:rStyle w:val="4"/>
          <w:rFonts w:hint="eastAsia" w:ascii="仿宋_GB2312" w:hAnsi="仿宋_GB2312" w:eastAsia="仿宋_GB2312" w:cs="仿宋_GB2312"/>
          <w:spacing w:val="-1"/>
          <w:sz w:val="24"/>
          <w:szCs w:val="24"/>
          <w:u w:val="none"/>
        </w:rPr>
        <w:t>http://t</w:t>
      </w:r>
      <w:r>
        <w:rPr>
          <w:rFonts w:hint="eastAsia" w:ascii="仿宋_GB2312" w:hAnsi="仿宋_GB2312" w:eastAsia="仿宋_GB2312" w:cs="仿宋_GB2312"/>
          <w:spacing w:val="-1"/>
          <w:sz w:val="24"/>
          <w:szCs w:val="24"/>
        </w:rPr>
        <w:fldChar w:fldCharType="end"/>
      </w:r>
      <w:r>
        <w:rPr>
          <w:rFonts w:hint="eastAsia" w:ascii="仿宋_GB2312" w:hAnsi="仿宋_GB2312" w:eastAsia="仿宋_GB2312" w:cs="仿宋_GB2312"/>
          <w:spacing w:val="-1"/>
          <w:sz w:val="24"/>
          <w:szCs w:val="24"/>
        </w:rPr>
        <w:t>d.hnggzy.com</w:t>
      </w:r>
      <w:r>
        <w:rPr>
          <w:rFonts w:hint="eastAsia" w:ascii="仿宋_GB2312" w:hAnsi="仿宋_GB2312" w:eastAsia="仿宋_GB2312" w:cs="仿宋_GB2312"/>
          <w:kern w:val="2"/>
          <w:sz w:val="24"/>
          <w:szCs w:val="24"/>
        </w:rPr>
        <w:t>（河南省土地使用权网上交易系统）</w:t>
      </w:r>
    </w:p>
    <w:p>
      <w:pPr>
        <w:pStyle w:val="7"/>
        <w:spacing w:line="540" w:lineRule="exact"/>
        <w:ind w:left="2380" w:hanging="2380" w:hangingChars="1000"/>
        <w:rPr>
          <w:rFonts w:hint="eastAsia" w:ascii="仿宋_GB2312" w:hAnsi="仿宋_GB2312" w:eastAsia="仿宋_GB2312" w:cs="仿宋_GB2312"/>
          <w:color w:val="000000"/>
          <w:spacing w:val="-1"/>
          <w:sz w:val="24"/>
          <w:szCs w:val="24"/>
          <w:shd w:val="clear" w:color="auto" w:fill="FFFFFF"/>
        </w:rPr>
      </w:pPr>
      <w:r>
        <w:rPr>
          <w:rFonts w:hint="eastAsia" w:ascii="仿宋_GB2312" w:hAnsi="仿宋_GB2312" w:eastAsia="仿宋_GB2312" w:cs="仿宋_GB2312"/>
          <w:color w:val="000000"/>
          <w:spacing w:val="-1"/>
          <w:sz w:val="24"/>
          <w:szCs w:val="24"/>
          <w:shd w:val="clear" w:color="auto" w:fill="FFFFFF"/>
        </w:rPr>
        <w:t xml:space="preserve">                   http://gtj.anyang.gov.cn/</w:t>
      </w:r>
      <w:r>
        <w:rPr>
          <w:rFonts w:hint="eastAsia" w:ascii="仿宋_GB2312" w:hAnsi="仿宋_GB2312" w:eastAsia="仿宋_GB2312" w:cs="仿宋_GB2312"/>
          <w:kern w:val="2"/>
          <w:sz w:val="24"/>
          <w:szCs w:val="24"/>
        </w:rPr>
        <w:t>（安阳市自然资源和规划局）</w:t>
      </w:r>
      <w:r>
        <w:rPr>
          <w:rFonts w:hint="eastAsia" w:ascii="仿宋_GB2312" w:hAnsi="仿宋_GB2312" w:eastAsia="仿宋_GB2312" w:cs="仿宋_GB2312"/>
          <w:color w:val="000000"/>
          <w:spacing w:val="-1"/>
          <w:sz w:val="24"/>
          <w:szCs w:val="24"/>
          <w:shd w:val="clear" w:color="auto" w:fill="FFFFFF"/>
        </w:rPr>
        <w:t xml:space="preserve"> </w:t>
      </w:r>
    </w:p>
    <w:p>
      <w:pPr>
        <w:pStyle w:val="7"/>
        <w:spacing w:line="540" w:lineRule="exact"/>
        <w:ind w:left="2380" w:hanging="2380" w:hangingChars="1000"/>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1"/>
          <w:sz w:val="24"/>
          <w:szCs w:val="24"/>
          <w:shd w:val="clear" w:color="auto" w:fill="FFFFFF"/>
        </w:rPr>
        <w:t xml:space="preserve">                   </w:t>
      </w:r>
      <w:r>
        <w:rPr>
          <w:rFonts w:hint="eastAsia" w:ascii="仿宋_GB2312" w:hAnsi="仿宋_GB2312" w:eastAsia="仿宋_GB2312" w:cs="仿宋_GB2312"/>
          <w:sz w:val="24"/>
          <w:szCs w:val="24"/>
        </w:rPr>
        <w:fldChar w:fldCharType="begin"/>
      </w:r>
      <w:r>
        <w:rPr>
          <w:rStyle w:val="4"/>
          <w:rFonts w:hint="eastAsia" w:ascii="仿宋_GB2312" w:hAnsi="仿宋_GB2312" w:eastAsia="仿宋_GB2312" w:cs="仿宋_GB2312"/>
          <w:color w:val="auto"/>
          <w:sz w:val="24"/>
          <w:szCs w:val="24"/>
          <w:u w:val="none"/>
        </w:rPr>
        <w:instrText xml:space="preserve"> HYPERLINK "http://www.ayggzy.cn" </w:instrText>
      </w:r>
      <w:r>
        <w:rPr>
          <w:rFonts w:hint="eastAsia" w:ascii="仿宋_GB2312" w:hAnsi="仿宋_GB2312" w:eastAsia="仿宋_GB2312" w:cs="仿宋_GB2312"/>
          <w:sz w:val="24"/>
          <w:szCs w:val="24"/>
        </w:rPr>
        <w:fldChar w:fldCharType="separate"/>
      </w:r>
      <w:r>
        <w:rPr>
          <w:rStyle w:val="4"/>
          <w:rFonts w:hint="eastAsia" w:ascii="仿宋_GB2312" w:hAnsi="仿宋_GB2312" w:eastAsia="仿宋_GB2312" w:cs="仿宋_GB2312"/>
          <w:color w:val="auto"/>
          <w:sz w:val="24"/>
          <w:szCs w:val="24"/>
          <w:u w:val="none"/>
        </w:rPr>
        <w:t>http://</w:t>
      </w:r>
      <w:r>
        <w:rPr>
          <w:rStyle w:val="4"/>
          <w:rFonts w:hint="eastAsia" w:ascii="仿宋_GB2312" w:hAnsi="仿宋_GB2312" w:eastAsia="仿宋_GB2312" w:cs="仿宋_GB2312"/>
          <w:color w:val="auto"/>
          <w:spacing w:val="-1"/>
          <w:sz w:val="24"/>
          <w:szCs w:val="24"/>
          <w:u w:val="none"/>
          <w:shd w:val="clear" w:color="auto" w:fill="FFFFFF"/>
        </w:rPr>
        <w:t>ggzy.anyang.gov.cn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（安阳市公共资源交易中心）</w:t>
      </w:r>
    </w:p>
    <w:p>
      <w:pPr>
        <w:shd w:val="solid" w:color="FFFFFF" w:fill="auto"/>
        <w:autoSpaceDN w:val="0"/>
        <w:spacing w:line="540" w:lineRule="exact"/>
        <w:ind w:firstLine="63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pacing w:val="-1"/>
          <w:kern w:val="0"/>
          <w:sz w:val="24"/>
          <w:szCs w:val="24"/>
          <w:shd w:val="clear" w:color="auto" w:fill="FFFFFF"/>
          <w:lang w:val="en-US" w:eastAsia="zh-CN" w:bidi="ar-SA"/>
        </w:rPr>
        <w:t xml:space="preserve"> https://anyang.zzbdex.com  (安阳产权交易平台)</w:t>
      </w:r>
      <w:r>
        <w:rPr>
          <w:rFonts w:hint="eastAsia" w:ascii="仿宋_GB2312" w:hAnsi="仿宋_GB2312" w:eastAsia="仿宋_GB2312" w:cs="仿宋_GB2312"/>
          <w:sz w:val="32"/>
          <w:szCs w:val="32"/>
        </w:rPr>
        <w:t xml:space="preserve">    </w:t>
      </w:r>
    </w:p>
    <w:p>
      <w:pPr>
        <w:shd w:val="solid" w:color="FFFFFF" w:fill="auto"/>
        <w:autoSpaceDN w:val="0"/>
        <w:spacing w:line="540" w:lineRule="exact"/>
        <w:ind w:firstLine="6086" w:firstLineChars="1902"/>
        <w:rPr>
          <w:rFonts w:hint="eastAsia" w:ascii="仿宋_GB2312" w:hAnsi="仿宋_GB2312" w:eastAsia="仿宋_GB2312" w:cs="仿宋_GB2312"/>
          <w:sz w:val="32"/>
          <w:szCs w:val="32"/>
        </w:rPr>
      </w:pPr>
    </w:p>
    <w:p>
      <w:pPr>
        <w:shd w:val="solid" w:color="FFFFFF" w:fill="auto"/>
        <w:autoSpaceDN w:val="0"/>
        <w:spacing w:line="540" w:lineRule="exact"/>
        <w:ind w:firstLine="6086" w:firstLineChars="1902"/>
        <w:rPr>
          <w:rFonts w:hint="eastAsia" w:ascii="仿宋_GB2312" w:hAnsi="仿宋_GB2312" w:eastAsia="仿宋_GB2312" w:cs="仿宋_GB2312"/>
          <w:sz w:val="32"/>
          <w:szCs w:val="32"/>
        </w:rPr>
      </w:pPr>
    </w:p>
    <w:p>
      <w:pPr>
        <w:shd w:val="solid" w:color="FFFFFF" w:fill="auto"/>
        <w:autoSpaceDN w:val="0"/>
        <w:spacing w:line="540" w:lineRule="exact"/>
        <w:ind w:firstLine="6086" w:firstLineChars="1902"/>
        <w:rPr>
          <w:rFonts w:hint="eastAsia" w:ascii="仿宋_GB2312" w:hAnsi="仿宋_GB2312" w:eastAsia="仿宋_GB2312" w:cs="仿宋_GB2312"/>
          <w:spacing w:val="-1"/>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WNlOWNkYmQzODYxYWRhOGU1NDY4ZjViNDkxYzgifQ=="/>
  </w:docVars>
  <w:rsids>
    <w:rsidRoot w:val="00000000"/>
    <w:rsid w:val="18F45EEF"/>
    <w:rsid w:val="4EDA72EE"/>
    <w:rsid w:val="56D9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WPS Plain"/>
    <w:qFormat/>
    <w:uiPriority w:val="0"/>
    <w:rPr>
      <w:rFonts w:ascii="Times New Roman" w:hAnsi="Times New Roman" w:eastAsia="宋体" w:cs="Times New Roman"/>
      <w:lang w:val="en-US" w:eastAsia="zh-CN" w:bidi="ar-SA"/>
    </w:rPr>
  </w:style>
  <w:style w:type="paragraph" w:customStyle="1" w:styleId="6">
    <w:name w:val="p15"/>
    <w:basedOn w:val="1"/>
    <w:uiPriority w:val="0"/>
    <w:pPr>
      <w:widowControl/>
      <w:spacing w:line="240" w:lineRule="auto"/>
      <w:ind w:left="0"/>
      <w:jc w:val="left"/>
      <w:textAlignment w:val="auto"/>
    </w:pPr>
    <w:rPr>
      <w:lang w:val="en-US" w:eastAsia="zh-CN"/>
    </w:rPr>
  </w:style>
  <w:style w:type="paragraph" w:customStyle="1" w:styleId="7">
    <w:name w:val="p0"/>
    <w:basedOn w:val="1"/>
    <w:uiPriority w:val="0"/>
    <w:pPr>
      <w:widowControl/>
      <w:textAlignment w:val="auto"/>
    </w:pPr>
    <w:rPr>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2024-06-26T01:18:00Z</dcterms:created>
  <dc:creator>Administrator</dc:creator>
  <cp:lastModifiedBy>Administrator</cp:lastModifiedBy>
  <dcterms:modified xsi:type="dcterms:W3CDTF">2024-06-26T01:55:01Z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921D338FB83E4566ADFBD5D4A867BC2A_12</vt:lpwstr>
  </property>
</Properties>
</file>