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《规模化兔场养殖技术规程 》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安阳市地方标准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编制说明</w:t>
      </w:r>
    </w:p>
    <w:p>
      <w:pPr>
        <w:pStyle w:val="7"/>
        <w:spacing w:line="590" w:lineRule="exact"/>
        <w:jc w:val="both"/>
      </w:pP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一、编制的目的和意义</w:t>
      </w:r>
    </w:p>
    <w:p>
      <w:pPr>
        <w:spacing w:line="59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兔生产具有投资少、见效快、周期短、适于不同规模饲养的特点，成为消化农村剩余劳动力、增加农民收入的一个有效途径。近10年来，我国免业发展经历了波澜起伏和国内外市场的激烈波动，经过不断地调整，目前我国兔业呈现稳中向好的发展态势。特别是我国养兔业迎合新形势的发展，进行了重大调整，以庭院养殖模式向规模化、标准化饲养迈进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兔场的规模化发展速度加快，尤其近5年建设的大中型兔场越来越多，兔场的投人不断增加，疫病防疫要求增加，环境压力增大，对经营者的管理能力要求更高。在2020年我国首次出现二型兔瘟后，活兔调运加大养兔场的防疫风险，基层养殖场养殖技术相对落后,兔场疫病防治人员紧缺，所需要的疫苗、兽药、替抗产品还满足不了现代免业发展的需求，并且成本逐年上升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尽管受到新冠肺炎疫情反复、能源和粮食市场波动等因素冲击，但国内经济仍然表现出韧性十足、稳中向好的势头。兔产业发展也延续了上一年稳定增长的特点，并呈现更加强劲的态势。纵观2022年，受季节性因素影响上半年兔产业有所下滑，下半年则明显上升。当然，兔产业发展中也存在不同的问题，需要引起重视。 </w:t>
      </w:r>
      <w:r>
        <w:rPr>
          <w:rFonts w:hint="default" w:ascii="仿宋_GB2312" w:hAnsi="仿宋_GB2312" w:eastAsia="仿宋_GB2312" w:cs="仿宋_GB2312"/>
          <w:sz w:val="32"/>
          <w:szCs w:val="32"/>
        </w:rPr>
        <w:t>养殖成本持续上升，养殖户利润分配占比较低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兔肉出口持续下降，国内消费潜力挖掘不足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加工研发不足，兔产品深加工不够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外部环境不确定性较大，兔场风险应对能力不足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良种培育力度有待提升，产业技术推广普及有待加强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无抗养殖替代措施缺乏，家兔疫病发生率偏高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兔养殖智能化水平较低，养殖人员技术水平有待提高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。这些因素均制约着我市养兔产业做大做强。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</w:rPr>
        <w:t>宏观经济逐步恢复，2023年我国兔产业将会获得良好的发展机遇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养殖企业（户）采取多种手段节本增效，提高养殖端竞争力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通过改变饲料配方、控制养殖环境、改变饲养模式和使用替抗预混料等综合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生物安全等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方式进行疫病防控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，从而达到健康养殖、标准化生产，增产增收的目的，也是本文件制定的目的和意义。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二、任务来源及编制原则和依据</w:t>
      </w:r>
    </w:p>
    <w:p>
      <w:pPr>
        <w:spacing w:line="59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1、任务来源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根据安阳市市场监督管理局文件《安阳市市场监督管理局关于发布202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年安阳市地方标准制定计划的公告》（安阳市市场监督管理局公告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号）的要求，由安阳市动物疫病预防控制中心负责安阳市地方标准《规模化兔场养殖技术规程》的起草、制定工作。</w:t>
      </w:r>
    </w:p>
    <w:p>
      <w:pPr>
        <w:spacing w:line="59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2、编制原则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规范性，符合国家法律、法规和政策，有利于奶牛结核病防控原则；具有科学性，实验方法和防控措施符合科学客观规律；具有先进性，引入国家、行业相关标准，采用当前先进技术；具有可操作性，结合安阳市奶牛结核病防控实际经验，经过多次调研和专家论证，可操作性强的原则。</w:t>
      </w:r>
    </w:p>
    <w:p>
      <w:pPr>
        <w:numPr>
          <w:ilvl w:val="0"/>
          <w:numId w:val="2"/>
        </w:numPr>
        <w:spacing w:line="59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编制依据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依据国家标准GB/T 1.1—2020《标准化工作导则 第1部分  标准化文件的结构和起草规则》的要求编写，主要</w:t>
      </w:r>
      <w:r>
        <w:rPr>
          <w:rFonts w:hint="eastAsia" w:ascii="仿宋_GB2312" w:hAnsi="仿宋_GB2312" w:cs="仿宋_GB2312"/>
          <w:sz w:val="32"/>
          <w:szCs w:val="32"/>
        </w:rPr>
        <w:t>引用了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下列标准：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5749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生活饮用水卫生标准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13078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饲料卫生标准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16548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病害动物和病害动物产品生物安全处理规程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18596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畜禽养殖业污染物排放标准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HJ568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畜禽养殖产地评价规范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NY/T 388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畜禽场环境质量标准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NY/T </w:t>
      </w:r>
      <w:r>
        <w:rPr>
          <w:rFonts w:hint="eastAsia" w:ascii="仿宋_GB2312" w:hAnsi="仿宋_GB2312" w:eastAsia="仿宋_GB2312" w:cs="仿宋_GB2312"/>
          <w:sz w:val="32"/>
          <w:szCs w:val="32"/>
        </w:rPr>
        <w:t>467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畜禽屠宰卫生检疫规范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NY/T </w:t>
      </w:r>
      <w:r>
        <w:rPr>
          <w:rFonts w:hint="eastAsia" w:ascii="仿宋_GB2312" w:hAnsi="仿宋_GB2312" w:eastAsia="仿宋_GB2312" w:cs="仿宋_GB2312"/>
          <w:sz w:val="32"/>
          <w:szCs w:val="32"/>
        </w:rPr>
        <w:t>472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绿色食品兽药使用准则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NY/T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4049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肉免营养需要量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 xml:space="preserve">NY/T </w:t>
      </w:r>
      <w:r>
        <w:rPr>
          <w:rFonts w:hint="eastAsia" w:ascii="仿宋_GB2312" w:hAnsi="仿宋_GB2312" w:eastAsia="仿宋_GB2312" w:cs="仿宋_GB2312"/>
          <w:sz w:val="32"/>
          <w:szCs w:val="32"/>
        </w:rPr>
        <w:t>5032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无公害食品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畜禽饲料和饲料添加剂使用准则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NY</w:t>
      </w:r>
      <w:r>
        <w:rPr>
          <w:rFonts w:hint="eastAsia" w:ascii="仿宋_GB2312" w:hAnsi="仿宋_GB2312" w:eastAsia="仿宋_GB2312" w:cs="仿宋_GB2312"/>
          <w:sz w:val="32"/>
          <w:szCs w:val="32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5131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无公害食品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肉兔饲养兽医防疫准则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NY/T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5133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无公害食品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肉兔饲养管理准则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三、编制过程</w:t>
      </w:r>
    </w:p>
    <w:p>
      <w:pPr>
        <w:spacing w:line="59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（一）工作基础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安阳市动物疫病预防控制中心现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正高级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技术职称人员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1人，副高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级技术职称人员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人，硕士研究生6人，具备雄厚的专业技术人才储备。现建有生物安全Ⅱ级实验室，面积1000平方米，下设血清学检测室、分子生物学检测室、病毒学检测室等18个功能室，具备开展病原学和血清学检测的能力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安阳市动物动物疫病预防控制中心成立以来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按照国家、省要求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每年指导辖区内养殖企业（户）开展重大动物疫病防控及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实施动物疫病净化工作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，指导并评价场区内外生物安全防护水平，对健康养殖、科学生产与防控疾病有着丰富的经验。</w:t>
      </w:r>
    </w:p>
    <w:p>
      <w:pPr>
        <w:spacing w:line="59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（二）编制过程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1、标准申请立项。安阳市市场监督管理局《关于征集202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年度市地方标准制修订项目的通知》下达后，在中心领导大力支持和协调下，向安阳市市场监督管理局提出《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规模化兔场养殖技术规程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》制定申请。根据《安阳市场监督管理局关于发布202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年安阳市地方标准制定计划的公告》（202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规模化兔场养殖技术规程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》起草小组。</w:t>
      </w:r>
    </w:p>
    <w:p>
      <w:pPr>
        <w:spacing w:line="59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形成草案稿。标准制定小组在广泛征集专家意见的基础上，结合对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兔</w:t>
      </w:r>
      <w:r>
        <w:rPr>
          <w:rFonts w:hint="eastAsia" w:ascii="仿宋_GB2312" w:hAnsi="仿宋_GB2312" w:eastAsia="仿宋_GB2312" w:cs="仿宋_GB2312"/>
          <w:sz w:val="32"/>
          <w:szCs w:val="32"/>
        </w:rPr>
        <w:t>场（户）技术负责人、基层防疫人员的调查结果，以及我市各级动物疫病预防控制中心实践经验，确定了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规模化兔场养殖技术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关键节点，起草了《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规模化兔场养殖技术规程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》草案稿。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3、形成征求意见稿。同时，将标准草稿送安阳市境内及其他多个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畜牧兽医生产部门与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动物疫病防控机构，邀请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畜牧兽医、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动物疫病防控专家等二十多人对草案稿进行意见征求，按照专家意见对标准草案稿进行多次修改完善，制定了该标准征求意见稿。主要完成人职责如下：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尉新华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张江波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主持本项地方标准的制定与编写工作，石凯文统筹协调，整体把握。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主要起草人：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冯现明、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翟英、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王振华、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王娜</w:t>
      </w:r>
      <w:r>
        <w:rPr>
          <w:rFonts w:hint="eastAsia" w:ascii="仿宋_GB2312" w:hAnsi="仿宋_GB2312" w:eastAsia="仿宋_GB2312" w:cs="仿宋_GB2312"/>
          <w:sz w:val="32"/>
          <w:szCs w:val="32"/>
        </w:rPr>
        <w:t>、卫一新、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任姣姣、邢艳艳、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吴丽媛、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孟佳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于静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负责标准内容的起草、制定和全市示范推广。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石永杰、李辉、陈海利、申振华、李敏、赵克锋、宋冉、孙玉新、付亚男、乔丽平、时文贤、杨明学、冯薇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规模化兔</w:t>
      </w:r>
      <w:r>
        <w:rPr>
          <w:rFonts w:hint="eastAsia" w:ascii="仿宋_GB2312" w:hAnsi="仿宋_GB2312" w:eastAsia="仿宋_GB2312" w:cs="仿宋_GB2312"/>
          <w:sz w:val="32"/>
          <w:szCs w:val="32"/>
        </w:rPr>
        <w:t>场调研及资料收集整理。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王合娣、胡伟峰、巩新廷、刘院利、仝霄霄、王喜庆、梁志平、刘伟、许娟、冯源、张婵婵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负责数据收集、整理基层养殖场户应用效果反馈及标准相关内容的起草。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四、主要内容的确定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选址与布局。</w:t>
      </w:r>
      <w:r>
        <w:rPr>
          <w:rFonts w:hint="eastAsia" w:ascii="仿宋" w:hAnsi="仿宋" w:eastAsia="仿宋" w:cs="仿宋"/>
          <w:bCs/>
          <w:sz w:val="32"/>
          <w:szCs w:val="32"/>
        </w:rPr>
        <w:t>场址建设前应经环境评估，符合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HJ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568</w:t>
      </w:r>
      <w:r>
        <w:rPr>
          <w:rFonts w:hint="eastAsia" w:ascii="仿宋" w:hAnsi="仿宋" w:eastAsia="仿宋" w:cs="仿宋"/>
          <w:bCs/>
          <w:sz w:val="32"/>
          <w:szCs w:val="32"/>
        </w:rPr>
        <w:t>要求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电力水力设施应具备，供应充足，用水应符合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GB </w:t>
      </w:r>
      <w:r>
        <w:rPr>
          <w:rFonts w:hint="eastAsia" w:ascii="仿宋" w:hAnsi="仿宋" w:eastAsia="仿宋" w:cs="仿宋"/>
          <w:bCs/>
          <w:sz w:val="32"/>
          <w:szCs w:val="32"/>
        </w:rPr>
        <w:t>5749的要求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场区应交通便利，地势高燥。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兔场内应设生活区、办公区、生产区及粪污处理区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生活区、办公区应处于上风向，粪污处理区应处于下风向；各区之间和各兔舍之间应设隔离带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场区净道、污道应分开，互不交叉。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</w:rPr>
        <w:t>兔舍要求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。设施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NY/T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5133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的规定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空气质量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NY/T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388的规定；</w:t>
      </w:r>
      <w:r>
        <w:rPr>
          <w:rFonts w:hint="eastAsia" w:ascii="仿宋" w:hAnsi="仿宋" w:eastAsia="仿宋" w:cs="仿宋"/>
          <w:bCs/>
          <w:sz w:val="32"/>
          <w:szCs w:val="32"/>
        </w:rPr>
        <w:t>粪污排放与处理应符合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GB </w:t>
      </w:r>
      <w:r>
        <w:rPr>
          <w:rFonts w:hint="eastAsia" w:ascii="仿宋" w:hAnsi="仿宋" w:eastAsia="仿宋" w:cs="仿宋"/>
          <w:bCs/>
          <w:sz w:val="32"/>
          <w:szCs w:val="32"/>
        </w:rPr>
        <w:t>18596的规定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宜采用传送带式或刮粪板式清粪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兔舍</w:t>
      </w:r>
      <w:r>
        <w:rPr>
          <w:rFonts w:hint="eastAsia" w:ascii="仿宋" w:hAnsi="仿宋" w:eastAsia="仿宋" w:cs="仿宋"/>
          <w:bCs/>
          <w:sz w:val="32"/>
          <w:szCs w:val="32"/>
        </w:rPr>
        <w:t>宜坐北朝南，兔舍之间平行排列，间距不小于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5m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建筑形式因地制宜，宜采用半开放式兔舍或密闭式兔舍，兔舍跨度不小于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7.5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m。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兔笼</w:t>
      </w:r>
      <w:r>
        <w:rPr>
          <w:rFonts w:hint="eastAsia" w:ascii="仿宋" w:hAnsi="仿宋" w:eastAsia="仿宋" w:cs="仿宋"/>
          <w:bCs/>
          <w:sz w:val="32"/>
          <w:szCs w:val="32"/>
        </w:rPr>
        <w:t>种兔宜采用单层或双层</w:t>
      </w:r>
      <w:r>
        <w:rPr>
          <w:rFonts w:hint="eastAsia" w:ascii="仿宋" w:hAnsi="仿宋" w:eastAsia="仿宋" w:cs="仿宋"/>
          <w:bCs/>
          <w:sz w:val="32"/>
          <w:szCs w:val="32"/>
          <w:lang w:val="zh-CN" w:eastAsia="zh-CN"/>
        </w:rPr>
        <w:t>“品”</w:t>
      </w:r>
      <w:r>
        <w:rPr>
          <w:rFonts w:hint="eastAsia" w:ascii="仿宋" w:hAnsi="仿宋" w:eastAsia="仿宋" w:cs="仿宋"/>
          <w:bCs/>
          <w:sz w:val="32"/>
          <w:szCs w:val="32"/>
        </w:rPr>
        <w:t>字型兔笼，兔笼面积不小于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0.33m2/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只</w:t>
      </w:r>
      <w:r>
        <w:rPr>
          <w:rFonts w:hint="eastAsia" w:ascii="仿宋" w:hAnsi="仿宋" w:eastAsia="仿宋" w:cs="仿宋"/>
          <w:bCs/>
          <w:sz w:val="32"/>
          <w:szCs w:val="32"/>
        </w:rPr>
        <w:t>;商品兔宜采用1层〜3层兔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笼，兔笼面积不小于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0.15m2/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只。</w:t>
      </w:r>
      <w:r>
        <w:rPr>
          <w:rFonts w:hint="eastAsia" w:ascii="仿宋" w:hAnsi="仿宋" w:eastAsia="仿宋" w:cs="仿宋"/>
          <w:bCs/>
          <w:sz w:val="32"/>
          <w:szCs w:val="32"/>
        </w:rPr>
        <w:t>笼底板要求平而不滑、坚固而有一定弹性、便于清洗、消毒；笼底板缝隙不小于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1cm。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引种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品种</w:t>
      </w:r>
      <w:r>
        <w:rPr>
          <w:rFonts w:hint="eastAsia" w:ascii="仿宋" w:hAnsi="仿宋" w:eastAsia="仿宋" w:cs="仿宋"/>
          <w:bCs/>
          <w:sz w:val="32"/>
          <w:szCs w:val="32"/>
        </w:rPr>
        <w:t>应选择符合本地区气候条件、市场需求的肉兔品种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pStyle w:val="2"/>
        <w:snapToGrid w:val="0"/>
        <w:spacing w:line="580" w:lineRule="exact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引种前</w:t>
      </w:r>
      <w:r>
        <w:rPr>
          <w:rFonts w:hint="eastAsia" w:ascii="仿宋" w:hAnsi="仿宋" w:eastAsia="仿宋" w:cs="仿宋"/>
          <w:bCs/>
          <w:sz w:val="32"/>
          <w:szCs w:val="32"/>
        </w:rPr>
        <w:t>应查验种畜禽生产经营许可证、动物防疫条件合格证、种畜禽合格证和种兔系谱档案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引进种兔应按照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NY/T </w:t>
      </w:r>
      <w:r>
        <w:rPr>
          <w:rFonts w:hint="eastAsia" w:ascii="仿宋" w:hAnsi="仿宋" w:eastAsia="仿宋" w:cs="仿宋"/>
          <w:bCs/>
          <w:sz w:val="32"/>
          <w:szCs w:val="32"/>
        </w:rPr>
        <w:t>467进行检疫，不应从疫区引种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引进种兔应隔离观察30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d</w:t>
      </w:r>
      <w:r>
        <w:rPr>
          <w:rFonts w:hint="eastAsia" w:ascii="仿宋" w:hAnsi="仿宋" w:eastAsia="仿宋" w:cs="仿宋"/>
          <w:bCs/>
          <w:sz w:val="32"/>
          <w:szCs w:val="32"/>
        </w:rPr>
        <w:t>以上，确认健康无病后方可饲养。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饲料。饲料卫生</w:t>
      </w:r>
      <w:r>
        <w:rPr>
          <w:rFonts w:hint="eastAsia" w:ascii="仿宋" w:hAnsi="仿宋" w:eastAsia="仿宋" w:cs="仿宋"/>
          <w:bCs/>
          <w:sz w:val="32"/>
          <w:szCs w:val="32"/>
        </w:rPr>
        <w:t>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GB </w:t>
      </w:r>
      <w:r>
        <w:rPr>
          <w:rFonts w:hint="eastAsia" w:ascii="仿宋" w:hAnsi="仿宋" w:eastAsia="仿宋" w:cs="仿宋"/>
          <w:bCs/>
          <w:sz w:val="32"/>
          <w:szCs w:val="32"/>
        </w:rPr>
        <w:t>13078的规定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；营养</w:t>
      </w:r>
      <w:r>
        <w:rPr>
          <w:rFonts w:hint="eastAsia" w:ascii="仿宋" w:hAnsi="仿宋" w:eastAsia="仿宋" w:cs="仿宋"/>
          <w:bCs/>
          <w:sz w:val="32"/>
          <w:szCs w:val="32"/>
        </w:rPr>
        <w:t>根据兔的不同生理阶段，按照营养需求配制饲料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营养水平应符合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NY/T </w:t>
      </w:r>
      <w:r>
        <w:rPr>
          <w:rFonts w:hint="eastAsia" w:ascii="仿宋" w:hAnsi="仿宋" w:eastAsia="仿宋" w:cs="仿宋"/>
          <w:bCs/>
          <w:sz w:val="32"/>
          <w:szCs w:val="32"/>
        </w:rPr>
        <w:t>4049的要求。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饲养管理。饲养方式要</w:t>
      </w:r>
      <w:r>
        <w:rPr>
          <w:rFonts w:hint="eastAsia" w:ascii="仿宋" w:hAnsi="仿宋" w:eastAsia="仿宋" w:cs="仿宋"/>
          <w:bCs/>
          <w:sz w:val="32"/>
          <w:szCs w:val="32"/>
        </w:rPr>
        <w:t>根据品种和全年岀栏计划，宜采用每年繁殖7胎〜8胎的半频密繁殖方式进行配种繁殖。对不同生长阶段的肉兔宜进行分批、分群饲养，做到全进全岀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种公兔、种母兔、仔兔、幼兔饲养管理应符合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DB50/T </w:t>
      </w:r>
      <w:r>
        <w:rPr>
          <w:rFonts w:hint="eastAsia" w:ascii="仿宋" w:hAnsi="仿宋" w:eastAsia="仿宋" w:cs="仿宋"/>
          <w:bCs/>
          <w:sz w:val="32"/>
          <w:szCs w:val="32"/>
        </w:rPr>
        <w:t>1012要求。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后备母兔的体重达到成年体重的75%即可配种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公母比例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自然交配1：5〜1：10,人工授精1：15〜1：30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配种强度，种公兔每日配种1次〜2次，连续配种两天停配一天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配种方式采用人工辅助配种或人工授精，规模兔场宜采用人工授精方法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 xml:space="preserve">配种后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10d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4d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摸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CN"/>
        </w:rPr>
        <w:t>胎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。妊娠后第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28d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d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TW"/>
        </w:rPr>
        <w:t>做好接产工作</w:t>
      </w:r>
      <w:r>
        <w:rPr>
          <w:rFonts w:hint="eastAsia" w:ascii="仿宋" w:hAnsi="仿宋" w:eastAsia="仿宋" w:cs="仿宋"/>
          <w:bCs/>
          <w:sz w:val="32"/>
          <w:szCs w:val="32"/>
          <w:lang w:val="zh-TW" w:eastAsia="zh-CN"/>
        </w:rPr>
        <w:t>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防疫。</w:t>
      </w:r>
      <w:r>
        <w:rPr>
          <w:rFonts w:hint="eastAsia" w:ascii="仿宋" w:hAnsi="仿宋" w:eastAsia="仿宋" w:cs="仿宋"/>
          <w:bCs/>
          <w:sz w:val="32"/>
          <w:szCs w:val="32"/>
        </w:rPr>
        <w:t>场地、兔舍、兔笼、用具、人员的卫生消毒应按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DB50/T </w:t>
      </w:r>
      <w:r>
        <w:rPr>
          <w:rFonts w:hint="eastAsia" w:ascii="仿宋" w:hAnsi="仿宋" w:eastAsia="仿宋" w:cs="仿宋"/>
          <w:bCs/>
          <w:sz w:val="32"/>
          <w:szCs w:val="32"/>
        </w:rPr>
        <w:t>1012要求执行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；防疫</w:t>
      </w:r>
      <w:r>
        <w:rPr>
          <w:rFonts w:hint="eastAsia" w:ascii="仿宋" w:hAnsi="仿宋" w:eastAsia="仿宋" w:cs="仿宋"/>
          <w:bCs/>
          <w:sz w:val="32"/>
          <w:szCs w:val="32"/>
        </w:rPr>
        <w:t>应按防疫程序进行免疫接种或药物预防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兔场发生或疑似发生流行性疫病时，应按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NY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5131</w:t>
      </w:r>
      <w:r>
        <w:rPr>
          <w:rFonts w:hint="eastAsia" w:ascii="仿宋" w:hAnsi="仿宋" w:eastAsia="仿宋" w:cs="仿宋"/>
          <w:bCs/>
          <w:sz w:val="32"/>
          <w:szCs w:val="32"/>
        </w:rPr>
        <w:t>的规定进行处理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定期对本地区或本场及周边发生过的重点疫病进行监测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病死兔处理应符合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GB </w:t>
      </w:r>
      <w:r>
        <w:rPr>
          <w:rFonts w:hint="eastAsia" w:ascii="仿宋" w:hAnsi="仿宋" w:eastAsia="仿宋" w:cs="仿宋"/>
          <w:bCs/>
          <w:sz w:val="32"/>
          <w:szCs w:val="32"/>
        </w:rPr>
        <w:t>16548的要求。兔场废弃物的排放应符合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GB </w:t>
      </w:r>
      <w:r>
        <w:rPr>
          <w:rFonts w:hint="eastAsia" w:ascii="仿宋" w:hAnsi="仿宋" w:eastAsia="仿宋" w:cs="仿宋"/>
          <w:bCs/>
          <w:sz w:val="32"/>
          <w:szCs w:val="32"/>
        </w:rPr>
        <w:t>18596的要求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干粪经堆积发酵处理、尿液经沼气池处理后进行资源化利用。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兽药使用。</w:t>
      </w:r>
      <w:r>
        <w:rPr>
          <w:rFonts w:hint="eastAsia" w:ascii="仿宋" w:hAnsi="仿宋" w:eastAsia="仿宋" w:cs="仿宋"/>
          <w:bCs/>
          <w:sz w:val="32"/>
          <w:szCs w:val="32"/>
        </w:rPr>
        <w:t>应按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 xml:space="preserve">NY/T </w:t>
      </w:r>
      <w:r>
        <w:rPr>
          <w:rFonts w:hint="eastAsia" w:ascii="仿宋" w:hAnsi="仿宋" w:eastAsia="仿宋" w:cs="仿宋"/>
          <w:bCs/>
          <w:sz w:val="32"/>
          <w:szCs w:val="32"/>
        </w:rPr>
        <w:t>472的规定执行。</w:t>
      </w:r>
    </w:p>
    <w:p>
      <w:pPr>
        <w:pStyle w:val="2"/>
        <w:snapToGrid w:val="0"/>
        <w:spacing w:line="580" w:lineRule="exact"/>
        <w:ind w:firstLine="64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养殖档案。</w:t>
      </w:r>
      <w:r>
        <w:rPr>
          <w:rFonts w:hint="eastAsia" w:ascii="仿宋" w:hAnsi="仿宋" w:eastAsia="仿宋" w:cs="仿宋"/>
          <w:bCs/>
          <w:sz w:val="32"/>
          <w:szCs w:val="32"/>
        </w:rPr>
        <w:t>建立生产记录档案，做好生产、投入品使用、疫病防治、岀场销售等记录，并符合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en-US"/>
        </w:rPr>
        <w:t>NY/T5133</w:t>
      </w:r>
      <w:r>
        <w:rPr>
          <w:rFonts w:hint="eastAsia" w:ascii="仿宋" w:hAnsi="仿宋" w:eastAsia="仿宋" w:cs="仿宋"/>
          <w:bCs/>
          <w:sz w:val="32"/>
          <w:szCs w:val="32"/>
        </w:rPr>
        <w:t>的要求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五、采标情况</w:t>
      </w:r>
    </w:p>
    <w:p>
      <w:pPr>
        <w:spacing w:line="59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六、重大意见分歧的处理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没有重大意见分歧。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七、与国家法律法规和强制性标准的关系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贯彻落实《中华人民共和国动物防疫法》、《中华人民共和国畜牧法》以及202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年国家、省、市动物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生产与疫病管理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的相关规定和要求，所引用的有关标准均为最新现行标准，与现行法律、法规和强制性国家标准没有冲突。</w:t>
      </w:r>
    </w:p>
    <w:p>
      <w:pPr>
        <w:spacing w:after="156" w:afterLines="50"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八、标准实施的建议</w:t>
      </w:r>
    </w:p>
    <w:p>
      <w:pPr>
        <w:tabs>
          <w:tab w:val="left" w:pos="720"/>
        </w:tabs>
        <w:snapToGrid w:val="0"/>
        <w:spacing w:line="360" w:lineRule="auto"/>
        <w:ind w:firstLine="627" w:firstLineChars="196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本标准发布后，相关单位加强标准的宣贯和实施，将标准实施中出现的问题和改进建议及时反馈给标准编写组，促进本标准进一步修订和完善。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九、其他应予说明的事项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spacing w:line="59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标准编写组</w:t>
      </w:r>
    </w:p>
    <w:p>
      <w:pPr>
        <w:spacing w:line="59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ACC1228"/>
    <w:multiLevelType w:val="singleLevel"/>
    <w:tmpl w:val="4ACC122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xOWY3MjhlMGUwNWU4MWMyNjk4MzdiYzA1NDI4ZTEifQ=="/>
  </w:docVars>
  <w:rsids>
    <w:rsidRoot w:val="00C25B48"/>
    <w:rsid w:val="00041626"/>
    <w:rsid w:val="0005275F"/>
    <w:rsid w:val="00066470"/>
    <w:rsid w:val="000E2075"/>
    <w:rsid w:val="002E4557"/>
    <w:rsid w:val="003201E2"/>
    <w:rsid w:val="0034277B"/>
    <w:rsid w:val="00364E21"/>
    <w:rsid w:val="003F68FA"/>
    <w:rsid w:val="00462A39"/>
    <w:rsid w:val="00496A8E"/>
    <w:rsid w:val="00540A20"/>
    <w:rsid w:val="00553CB8"/>
    <w:rsid w:val="005924ED"/>
    <w:rsid w:val="005E11DD"/>
    <w:rsid w:val="008056B2"/>
    <w:rsid w:val="00852C8F"/>
    <w:rsid w:val="008B4963"/>
    <w:rsid w:val="009832B7"/>
    <w:rsid w:val="009F24CB"/>
    <w:rsid w:val="00AA7B25"/>
    <w:rsid w:val="00B65AC3"/>
    <w:rsid w:val="00C25B48"/>
    <w:rsid w:val="00C526D8"/>
    <w:rsid w:val="00D67A0A"/>
    <w:rsid w:val="00E04560"/>
    <w:rsid w:val="00EE44DD"/>
    <w:rsid w:val="00FA4F59"/>
    <w:rsid w:val="00FF5C00"/>
    <w:rsid w:val="00FF74EA"/>
    <w:rsid w:val="18EB14C9"/>
    <w:rsid w:val="63DA429C"/>
    <w:rsid w:val="65C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ind w:firstLine="420" w:firstLineChars="200"/>
    </w:pPr>
    <w:rPr>
      <w:rFonts w:ascii="宋体" w:hAnsi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/>
      <w:szCs w:val="21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段 Char"/>
    <w:basedOn w:val="6"/>
    <w:link w:val="1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3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4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二级条标题"/>
    <w:basedOn w:val="13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1"/>
    <w:qFormat/>
    <w:uiPriority w:val="0"/>
    <w:pPr>
      <w:numPr>
        <w:ilvl w:val="0"/>
        <w:numId w:val="0"/>
      </w:numPr>
      <w:outlineLvl w:val="4"/>
    </w:pPr>
  </w:style>
  <w:style w:type="paragraph" w:customStyle="1" w:styleId="17">
    <w:name w:val="四级条标题"/>
    <w:basedOn w:val="16"/>
    <w:next w:val="11"/>
    <w:qFormat/>
    <w:uiPriority w:val="0"/>
    <w:pPr>
      <w:numPr>
        <w:ilvl w:val="4"/>
        <w:numId w:val="1"/>
      </w:numPr>
      <w:outlineLvl w:val="5"/>
    </w:pPr>
  </w:style>
  <w:style w:type="paragraph" w:customStyle="1" w:styleId="18">
    <w:name w:val="五级条标题"/>
    <w:basedOn w:val="17"/>
    <w:next w:val="11"/>
    <w:qFormat/>
    <w:uiPriority w:val="0"/>
    <w:pPr>
      <w:numPr>
        <w:ilvl w:val="5"/>
      </w:numPr>
      <w:outlineLvl w:val="6"/>
    </w:p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29" w:lineRule="auto"/>
      <w:ind w:firstLine="3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widowControl w:val="0"/>
      <w:shd w:val="clear" w:color="auto" w:fill="auto"/>
      <w:spacing w:after="20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3422</Words>
  <Characters>3658</Characters>
  <Lines>27</Lines>
  <Paragraphs>7</Paragraphs>
  <TotalTime>15</TotalTime>
  <ScaleCrop>false</ScaleCrop>
  <LinksUpToDate>false</LinksUpToDate>
  <CharactersWithSpaces>3748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2022-08-12T02:13:00Z</dcterms:created>
  <dc:creator>Administrator</dc:creator>
  <cp:lastModifiedBy>晴天依旧</cp:lastModifiedBy>
  <dcterms:modified xsi:type="dcterms:W3CDTF">2024-06-17T07:53:06Z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44C737A682564ECEB03C04E911FA54BD_12</vt:lpwstr>
  </property>
</Properties>
</file>