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360" w:lineRule="auto"/>
        <w:ind w:left="0" w:leftChars="0" w:right="0" w:rightChars="0"/>
        <w:jc w:val="center"/>
        <w:rPr>
          <w:rFonts w:hint="eastAsia" w:ascii="宋体" w:hAnsi="宋体" w:eastAsia="宋体" w:cs="Helvetica"/>
          <w:b/>
          <w:bCs/>
          <w:kern w:val="0"/>
          <w:sz w:val="44"/>
        </w:rPr>
      </w:pPr>
      <w:r>
        <w:rPr>
          <w:rFonts w:hint="eastAsia" w:ascii="宋体" w:hAnsi="宋体" w:eastAsia="宋体" w:cs="Helvetica"/>
          <w:b/>
          <w:bCs/>
          <w:kern w:val="0"/>
          <w:sz w:val="44"/>
        </w:rPr>
        <w:t>安阳市商务局202</w:t>
      </w:r>
      <w:r>
        <w:rPr>
          <w:rFonts w:hint="eastAsia" w:ascii="宋体" w:hAnsi="宋体" w:eastAsia="宋体" w:cs="Helvetica"/>
          <w:b/>
          <w:bCs/>
          <w:kern w:val="0"/>
          <w:sz w:val="44"/>
          <w:lang w:val="en-US" w:eastAsia="zh-CN"/>
        </w:rPr>
        <w:t>1</w:t>
      </w:r>
      <w:r>
        <w:rPr>
          <w:rFonts w:hint="eastAsia" w:ascii="宋体" w:hAnsi="宋体" w:eastAsia="宋体" w:cs="Helvetica"/>
          <w:b/>
          <w:bCs/>
          <w:kern w:val="0"/>
          <w:sz w:val="44"/>
        </w:rPr>
        <w:t>年政府信息公开</w:t>
      </w:r>
      <w:r>
        <w:rPr>
          <w:rFonts w:hint="eastAsia" w:ascii="宋体" w:hAnsi="宋体" w:eastAsia="宋体" w:cs="Helvetica"/>
          <w:b/>
          <w:bCs/>
          <w:kern w:val="0"/>
          <w:sz w:val="44"/>
          <w:szCs w:val="44"/>
        </w:rPr>
        <w:br w:type="textWrapping"/>
      </w:r>
      <w:r>
        <w:rPr>
          <w:rFonts w:hint="eastAsia" w:ascii="宋体" w:hAnsi="宋体" w:eastAsia="宋体" w:cs="Helvetica"/>
          <w:b/>
          <w:bCs/>
          <w:kern w:val="0"/>
          <w:sz w:val="44"/>
        </w:rPr>
        <w:t>工作年度报告</w:t>
      </w:r>
    </w:p>
    <w:p>
      <w:pPr>
        <w:widowControl/>
        <w:shd w:val="clear"/>
        <w:spacing w:line="360" w:lineRule="auto"/>
        <w:ind w:left="0" w:leftChars="0" w:right="0" w:rightChars="0" w:firstLine="460" w:firstLineChars="200"/>
        <w:jc w:val="center"/>
        <w:rPr>
          <w:rFonts w:ascii="微软雅黑" w:hAnsi="微软雅黑" w:eastAsia="微软雅黑" w:cs="Helvetica"/>
          <w:kern w:val="0"/>
          <w:sz w:val="23"/>
          <w:szCs w:val="23"/>
        </w:rPr>
      </w:pPr>
    </w:p>
    <w:p>
      <w:pPr>
        <w:widowControl/>
        <w:shd w:val="clear"/>
        <w:spacing w:line="360" w:lineRule="auto"/>
        <w:ind w:left="0" w:leftChars="0" w:right="0" w:rightChars="0" w:firstLine="640" w:firstLineChars="200"/>
        <w:jc w:val="left"/>
        <w:rPr>
          <w:rFonts w:ascii="微软雅黑" w:hAnsi="微软雅黑" w:eastAsia="微软雅黑" w:cs="Helvetica"/>
          <w:kern w:val="0"/>
          <w:sz w:val="23"/>
          <w:szCs w:val="23"/>
        </w:rPr>
      </w:pPr>
      <w:r>
        <w:rPr>
          <w:rFonts w:hint="eastAsia" w:ascii="仿宋_GB2312" w:hAnsi="宋体" w:eastAsia="仿宋_GB2312" w:cs="Helvetica"/>
          <w:kern w:val="0"/>
          <w:sz w:val="32"/>
          <w:szCs w:val="32"/>
        </w:rPr>
        <w:t>本报告根据《中华人民共和国政府信息公开条例》（以下简称《条例》）和《国务院办公厅政府信息与政务公开办公室关于政府信息公开工作年度报告有关事项的通知》（国办公开办函〔</w:t>
      </w:r>
      <w:r>
        <w:rPr>
          <w:rFonts w:hint="eastAsia" w:ascii="仿宋_GB2312" w:hAnsi="微软雅黑" w:eastAsia="仿宋_GB2312" w:cs="Helvetica"/>
          <w:kern w:val="0"/>
          <w:sz w:val="32"/>
          <w:szCs w:val="32"/>
        </w:rPr>
        <w:t>2019</w:t>
      </w:r>
      <w:r>
        <w:rPr>
          <w:rFonts w:hint="eastAsia" w:ascii="仿宋_GB2312" w:hAnsi="宋体" w:eastAsia="仿宋_GB2312" w:cs="Helvetica"/>
          <w:kern w:val="0"/>
          <w:sz w:val="32"/>
          <w:szCs w:val="32"/>
        </w:rPr>
        <w:t>〕</w:t>
      </w:r>
      <w:r>
        <w:rPr>
          <w:rFonts w:hint="eastAsia" w:ascii="仿宋_GB2312" w:hAnsi="微软雅黑" w:eastAsia="仿宋_GB2312" w:cs="Helvetica"/>
          <w:kern w:val="0"/>
          <w:sz w:val="32"/>
          <w:szCs w:val="32"/>
        </w:rPr>
        <w:t>60</w:t>
      </w:r>
      <w:r>
        <w:rPr>
          <w:rFonts w:hint="eastAsia" w:ascii="仿宋_GB2312" w:hAnsi="宋体" w:eastAsia="仿宋_GB2312" w:cs="Helvetica"/>
          <w:kern w:val="0"/>
          <w:sz w:val="32"/>
          <w:szCs w:val="32"/>
        </w:rPr>
        <w:t>号）有关要求，编写本报告。报告所列数据的统计期为</w:t>
      </w:r>
      <w:r>
        <w:rPr>
          <w:rFonts w:hint="eastAsia" w:ascii="仿宋_GB2312" w:hAnsi="微软雅黑" w:eastAsia="仿宋_GB2312" w:cs="Helvetica"/>
          <w:kern w:val="0"/>
          <w:sz w:val="32"/>
          <w:szCs w:val="32"/>
        </w:rPr>
        <w:t>202</w:t>
      </w:r>
      <w:r>
        <w:rPr>
          <w:rFonts w:hint="eastAsia" w:ascii="仿宋_GB2312" w:hAnsi="微软雅黑" w:eastAsia="仿宋_GB2312" w:cs="Helvetica"/>
          <w:kern w:val="0"/>
          <w:sz w:val="32"/>
          <w:szCs w:val="32"/>
          <w:lang w:val="en-US" w:eastAsia="zh-CN"/>
        </w:rPr>
        <w:t>1</w:t>
      </w:r>
      <w:r>
        <w:rPr>
          <w:rFonts w:hint="eastAsia" w:ascii="仿宋_GB2312" w:hAnsi="宋体" w:eastAsia="仿宋_GB2312" w:cs="Helvetica"/>
          <w:kern w:val="0"/>
          <w:sz w:val="32"/>
          <w:szCs w:val="32"/>
        </w:rPr>
        <w:t>年</w:t>
      </w:r>
      <w:r>
        <w:rPr>
          <w:rFonts w:hint="eastAsia" w:ascii="仿宋_GB2312" w:hAnsi="微软雅黑" w:eastAsia="仿宋_GB2312" w:cs="Helvetica"/>
          <w:kern w:val="0"/>
          <w:sz w:val="32"/>
          <w:szCs w:val="32"/>
        </w:rPr>
        <w:t>1</w:t>
      </w:r>
      <w:r>
        <w:rPr>
          <w:rFonts w:hint="eastAsia" w:ascii="仿宋_GB2312" w:hAnsi="宋体" w:eastAsia="仿宋_GB2312" w:cs="Helvetica"/>
          <w:kern w:val="0"/>
          <w:sz w:val="32"/>
          <w:szCs w:val="32"/>
        </w:rPr>
        <w:t>月</w:t>
      </w:r>
      <w:r>
        <w:rPr>
          <w:rFonts w:hint="eastAsia" w:ascii="仿宋_GB2312" w:hAnsi="微软雅黑" w:eastAsia="仿宋_GB2312" w:cs="Helvetica"/>
          <w:kern w:val="0"/>
          <w:sz w:val="32"/>
          <w:szCs w:val="32"/>
        </w:rPr>
        <w:t>1</w:t>
      </w:r>
      <w:r>
        <w:rPr>
          <w:rFonts w:hint="eastAsia" w:ascii="仿宋_GB2312" w:hAnsi="宋体" w:eastAsia="仿宋_GB2312" w:cs="Helvetica"/>
          <w:kern w:val="0"/>
          <w:sz w:val="32"/>
          <w:szCs w:val="32"/>
        </w:rPr>
        <w:t>日至</w:t>
      </w:r>
      <w:r>
        <w:rPr>
          <w:rFonts w:hint="eastAsia" w:ascii="仿宋_GB2312" w:hAnsi="微软雅黑" w:eastAsia="仿宋_GB2312" w:cs="Helvetica"/>
          <w:kern w:val="0"/>
          <w:sz w:val="32"/>
          <w:szCs w:val="32"/>
        </w:rPr>
        <w:t>202</w:t>
      </w:r>
      <w:r>
        <w:rPr>
          <w:rFonts w:hint="eastAsia" w:ascii="仿宋_GB2312" w:hAnsi="微软雅黑" w:eastAsia="仿宋_GB2312" w:cs="Helvetica"/>
          <w:kern w:val="0"/>
          <w:sz w:val="32"/>
          <w:szCs w:val="32"/>
          <w:lang w:val="en-US" w:eastAsia="zh-CN"/>
        </w:rPr>
        <w:t>1</w:t>
      </w:r>
      <w:r>
        <w:rPr>
          <w:rFonts w:hint="eastAsia" w:ascii="仿宋_GB2312" w:hAnsi="宋体" w:eastAsia="仿宋_GB2312" w:cs="Helvetica"/>
          <w:kern w:val="0"/>
          <w:sz w:val="32"/>
          <w:szCs w:val="32"/>
        </w:rPr>
        <w:t>年</w:t>
      </w:r>
      <w:r>
        <w:rPr>
          <w:rFonts w:hint="eastAsia" w:ascii="仿宋_GB2312" w:hAnsi="微软雅黑" w:eastAsia="仿宋_GB2312" w:cs="Helvetica"/>
          <w:kern w:val="0"/>
          <w:sz w:val="32"/>
          <w:szCs w:val="32"/>
        </w:rPr>
        <w:t>12</w:t>
      </w:r>
      <w:r>
        <w:rPr>
          <w:rFonts w:hint="eastAsia" w:ascii="仿宋_GB2312" w:hAnsi="宋体" w:eastAsia="仿宋_GB2312" w:cs="Helvetica"/>
          <w:kern w:val="0"/>
          <w:sz w:val="32"/>
          <w:szCs w:val="32"/>
        </w:rPr>
        <w:t>月</w:t>
      </w:r>
      <w:r>
        <w:rPr>
          <w:rFonts w:hint="eastAsia" w:ascii="仿宋_GB2312" w:hAnsi="微软雅黑" w:eastAsia="仿宋_GB2312" w:cs="Helvetica"/>
          <w:kern w:val="0"/>
          <w:sz w:val="32"/>
          <w:szCs w:val="32"/>
        </w:rPr>
        <w:t>31</w:t>
      </w:r>
      <w:r>
        <w:rPr>
          <w:rFonts w:hint="eastAsia" w:ascii="仿宋_GB2312" w:hAnsi="宋体" w:eastAsia="仿宋_GB2312" w:cs="Helvetica"/>
          <w:kern w:val="0"/>
          <w:sz w:val="32"/>
          <w:szCs w:val="32"/>
        </w:rPr>
        <w:t>日，本报告电子版可在局官网（http://swj.anyang.gov.cn/）下载。如对本报告有任何疑问，请与市商务局联系（地址：安阳市文峰大道559号，邮编：455000，电话：0372-5037750）。</w:t>
      </w:r>
    </w:p>
    <w:p>
      <w:pPr>
        <w:widowControl/>
        <w:shd w:val="clear"/>
        <w:spacing w:line="360" w:lineRule="auto"/>
        <w:ind w:left="0" w:leftChars="0" w:right="0" w:rightChars="0" w:firstLine="640" w:firstLineChars="200"/>
        <w:jc w:val="left"/>
        <w:rPr>
          <w:rFonts w:ascii="黑体" w:hAnsi="黑体" w:eastAsia="黑体" w:cs="Helvetica"/>
          <w:kern w:val="0"/>
          <w:sz w:val="32"/>
          <w:szCs w:val="32"/>
        </w:rPr>
      </w:pPr>
      <w:r>
        <w:rPr>
          <w:rFonts w:hint="eastAsia" w:ascii="黑体" w:hAnsi="黑体" w:eastAsia="黑体" w:cs="Helvetica"/>
          <w:kern w:val="0"/>
          <w:sz w:val="32"/>
          <w:szCs w:val="32"/>
        </w:rPr>
        <w:t>一、信息公开总体情况</w:t>
      </w:r>
    </w:p>
    <w:p>
      <w:pPr>
        <w:widowControl/>
        <w:shd w:val="clear"/>
        <w:spacing w:line="360" w:lineRule="auto"/>
        <w:ind w:left="0" w:leftChars="0" w:right="0" w:rightChars="0" w:firstLine="640" w:firstLineChars="200"/>
        <w:jc w:val="left"/>
        <w:rPr>
          <w:rFonts w:ascii="微软雅黑" w:hAnsi="微软雅黑" w:eastAsia="微软雅黑" w:cs="Helvetica"/>
          <w:kern w:val="0"/>
          <w:sz w:val="23"/>
          <w:szCs w:val="23"/>
        </w:rPr>
      </w:pPr>
      <w:r>
        <w:rPr>
          <w:rFonts w:hint="eastAsia" w:ascii="仿宋_GB2312" w:hAnsi="微软雅黑" w:eastAsia="仿宋_GB2312" w:cs="Helvetica"/>
          <w:kern w:val="0"/>
          <w:sz w:val="32"/>
          <w:szCs w:val="32"/>
        </w:rPr>
        <w:t>202</w:t>
      </w:r>
      <w:r>
        <w:rPr>
          <w:rFonts w:hint="eastAsia" w:ascii="仿宋_GB2312" w:hAnsi="微软雅黑" w:eastAsia="仿宋_GB2312" w:cs="Helvetica"/>
          <w:kern w:val="0"/>
          <w:sz w:val="32"/>
          <w:szCs w:val="32"/>
          <w:lang w:val="en-US" w:eastAsia="zh-CN"/>
        </w:rPr>
        <w:t>1</w:t>
      </w:r>
      <w:r>
        <w:rPr>
          <w:rFonts w:hint="eastAsia" w:ascii="仿宋_GB2312" w:hAnsi="宋体" w:eastAsia="仿宋_GB2312" w:cs="Helvetica"/>
          <w:kern w:val="0"/>
          <w:sz w:val="32"/>
          <w:szCs w:val="32"/>
        </w:rPr>
        <w:t>年市商务局以习近平新时代中国特色社会主义思想为指导，全面贯彻党的十九届</w:t>
      </w:r>
      <w:r>
        <w:rPr>
          <w:rFonts w:hint="eastAsia" w:ascii="仿宋_GB2312" w:hAnsi="宋体" w:eastAsia="仿宋_GB2312" w:cs="Helvetica"/>
          <w:kern w:val="0"/>
          <w:sz w:val="32"/>
          <w:szCs w:val="32"/>
          <w:lang w:eastAsia="zh-CN"/>
        </w:rPr>
        <w:t>历次</w:t>
      </w:r>
      <w:r>
        <w:rPr>
          <w:rFonts w:hint="eastAsia" w:ascii="仿宋_GB2312" w:hAnsi="宋体" w:eastAsia="仿宋_GB2312" w:cs="Helvetica"/>
          <w:kern w:val="0"/>
          <w:sz w:val="32"/>
          <w:szCs w:val="32"/>
        </w:rPr>
        <w:t>全会</w:t>
      </w:r>
      <w:r>
        <w:rPr>
          <w:rFonts w:hint="eastAsia" w:ascii="仿宋_GB2312" w:hAnsi="宋体" w:eastAsia="仿宋_GB2312" w:cs="Helvetica"/>
          <w:kern w:val="0"/>
          <w:sz w:val="32"/>
          <w:szCs w:val="32"/>
          <w:lang w:eastAsia="zh-CN"/>
        </w:rPr>
        <w:t>、省十一次党代会和市十二次党代会</w:t>
      </w:r>
      <w:r>
        <w:rPr>
          <w:rFonts w:hint="eastAsia" w:ascii="仿宋_GB2312" w:hAnsi="宋体" w:eastAsia="仿宋_GB2312" w:cs="Helvetica"/>
          <w:kern w:val="0"/>
          <w:sz w:val="32"/>
          <w:szCs w:val="32"/>
        </w:rPr>
        <w:t>精神，坚持以人民为中心的发展思想，认真落实党中央、国务院关于政务公开工作的决策部署，贯彻落实新修订的《中华人民共和国政府信息公开条例》（以下简称《条例》），聚焦做好“六稳”工作、落实“六保”任务，深化“放管服”改革</w:t>
      </w:r>
      <w:r>
        <w:rPr>
          <w:rFonts w:hint="eastAsia" w:ascii="仿宋_GB2312" w:hAnsi="宋体" w:eastAsia="仿宋_GB2312" w:cs="Helvetica"/>
          <w:kern w:val="0"/>
          <w:sz w:val="32"/>
          <w:szCs w:val="32"/>
          <w:shd w:val="clear" w:color="auto" w:fill="FFFFFF"/>
        </w:rPr>
        <w:t>，</w:t>
      </w:r>
      <w:r>
        <w:rPr>
          <w:rFonts w:hint="eastAsia" w:ascii="仿宋_GB2312" w:hAnsi="宋体" w:eastAsia="仿宋_GB2312" w:cs="Helvetica"/>
          <w:kern w:val="0"/>
          <w:sz w:val="32"/>
          <w:szCs w:val="32"/>
        </w:rPr>
        <w:t>优化营商环境，以政务网站及微信公众号为公开主渠道，切实做好政务公开工作，为推动安阳商务工作高质量发展提供有力支撑。</w:t>
      </w:r>
    </w:p>
    <w:p>
      <w:pPr>
        <w:widowControl/>
        <w:shd w:val="clear"/>
        <w:spacing w:line="360" w:lineRule="auto"/>
        <w:ind w:left="0" w:leftChars="0" w:right="0" w:rightChars="0" w:firstLine="640" w:firstLineChars="200"/>
        <w:jc w:val="left"/>
        <w:rPr>
          <w:rFonts w:ascii="微软雅黑" w:hAnsi="微软雅黑" w:eastAsia="微软雅黑" w:cs="Helvetica"/>
          <w:kern w:val="0"/>
          <w:sz w:val="23"/>
          <w:szCs w:val="23"/>
        </w:rPr>
      </w:pPr>
      <w:r>
        <w:rPr>
          <w:rFonts w:hint="eastAsia" w:ascii="黑体" w:hAnsi="黑体" w:eastAsia="黑体" w:cs="Helvetica"/>
          <w:kern w:val="0"/>
          <w:sz w:val="32"/>
          <w:szCs w:val="32"/>
        </w:rPr>
        <w:t>二、行政机关主动公开政府信息情况</w:t>
      </w:r>
    </w:p>
    <w:p>
      <w:pPr>
        <w:widowControl/>
        <w:shd w:val="clear"/>
        <w:spacing w:line="360" w:lineRule="auto"/>
        <w:ind w:left="0" w:leftChars="0" w:right="0" w:rightChars="0" w:firstLine="640" w:firstLineChars="200"/>
        <w:jc w:val="left"/>
        <w:rPr>
          <w:rFonts w:hint="eastAsia" w:ascii="仿宋_GB2312" w:eastAsia="仿宋_GB2312"/>
          <w:sz w:val="32"/>
          <w:szCs w:val="32"/>
        </w:rPr>
      </w:pPr>
      <w:r>
        <w:rPr>
          <w:rFonts w:hint="eastAsia" w:ascii="仿宋_GB2312" w:hAnsi="宋体" w:eastAsia="仿宋_GB2312" w:cs="Helvetica"/>
          <w:kern w:val="0"/>
          <w:sz w:val="32"/>
          <w:szCs w:val="32"/>
          <w:lang w:eastAsia="zh-CN"/>
        </w:rPr>
        <w:t>第</w:t>
      </w:r>
      <w:r>
        <w:rPr>
          <w:rFonts w:hint="eastAsia" w:ascii="仿宋_GB2312" w:hAnsi="宋体" w:eastAsia="仿宋_GB2312" w:cs="Helvetica"/>
          <w:kern w:val="0"/>
          <w:sz w:val="32"/>
          <w:szCs w:val="32"/>
        </w:rPr>
        <w:t>一</w:t>
      </w:r>
      <w:r>
        <w:rPr>
          <w:rFonts w:hint="eastAsia" w:ascii="仿宋_GB2312" w:hAnsi="宋体" w:eastAsia="仿宋_GB2312" w:cs="Helvetica"/>
          <w:kern w:val="0"/>
          <w:sz w:val="32"/>
          <w:szCs w:val="32"/>
          <w:lang w:eastAsia="zh-CN"/>
        </w:rPr>
        <w:t>，</w:t>
      </w:r>
      <w:r>
        <w:rPr>
          <w:rFonts w:hint="eastAsia" w:ascii="仿宋_GB2312" w:hAnsi="宋体" w:eastAsia="仿宋_GB2312" w:cs="Helvetica"/>
          <w:kern w:val="0"/>
          <w:sz w:val="32"/>
          <w:szCs w:val="32"/>
        </w:rPr>
        <w:t>根据《条例》要求，</w:t>
      </w:r>
      <w:r>
        <w:rPr>
          <w:rFonts w:hint="eastAsia" w:ascii="仿宋_GB2312" w:hAnsi="微软雅黑" w:eastAsia="仿宋_GB2312" w:cs="Helvetica"/>
          <w:kern w:val="0"/>
          <w:sz w:val="32"/>
          <w:szCs w:val="32"/>
        </w:rPr>
        <w:t>202</w:t>
      </w:r>
      <w:r>
        <w:rPr>
          <w:rFonts w:hint="eastAsia" w:ascii="仿宋_GB2312" w:hAnsi="微软雅黑" w:eastAsia="仿宋_GB2312" w:cs="Helvetica"/>
          <w:kern w:val="0"/>
          <w:sz w:val="32"/>
          <w:szCs w:val="32"/>
          <w:lang w:val="en-US" w:eastAsia="zh-CN"/>
        </w:rPr>
        <w:t>1</w:t>
      </w:r>
      <w:r>
        <w:rPr>
          <w:rFonts w:hint="eastAsia" w:ascii="仿宋_GB2312" w:hAnsi="宋体" w:eastAsia="仿宋_GB2312" w:cs="Helvetica"/>
          <w:kern w:val="0"/>
          <w:sz w:val="32"/>
          <w:szCs w:val="32"/>
        </w:rPr>
        <w:t>年我局在官方网站主动公开内容包括</w:t>
      </w:r>
      <w:r>
        <w:rPr>
          <w:rFonts w:hint="eastAsia" w:ascii="仿宋_GB2312" w:hAnsi="微软雅黑" w:eastAsia="仿宋_GB2312" w:cs="Helvetica"/>
          <w:kern w:val="0"/>
          <w:sz w:val="32"/>
          <w:szCs w:val="32"/>
          <w:lang w:eastAsia="zh-CN"/>
        </w:rPr>
        <w:t>：</w:t>
      </w:r>
      <w:r>
        <w:rPr>
          <w:rFonts w:hint="eastAsia" w:ascii="仿宋_GB2312" w:hAnsi="宋体" w:eastAsia="仿宋_GB2312" w:cs="Helvetica"/>
          <w:kern w:val="0"/>
          <w:sz w:val="32"/>
          <w:szCs w:val="32"/>
        </w:rPr>
        <w:t>机构</w:t>
      </w:r>
      <w:r>
        <w:rPr>
          <w:rFonts w:hint="eastAsia" w:ascii="仿宋_GB2312" w:hAnsi="宋体" w:eastAsia="仿宋_GB2312" w:cs="Helvetica"/>
          <w:kern w:val="0"/>
          <w:sz w:val="32"/>
          <w:szCs w:val="32"/>
          <w:lang w:eastAsia="zh-CN"/>
        </w:rPr>
        <w:t>设置</w:t>
      </w:r>
      <w:r>
        <w:rPr>
          <w:rFonts w:hint="eastAsia" w:ascii="仿宋_GB2312" w:hAnsi="宋体" w:eastAsia="仿宋_GB2312" w:cs="Helvetica"/>
          <w:kern w:val="0"/>
          <w:sz w:val="32"/>
          <w:szCs w:val="32"/>
        </w:rPr>
        <w:t>、</w:t>
      </w:r>
      <w:r>
        <w:rPr>
          <w:rFonts w:hint="eastAsia" w:ascii="仿宋_GB2312" w:hAnsi="宋体" w:eastAsia="仿宋_GB2312" w:cs="Helvetica"/>
          <w:kern w:val="0"/>
          <w:sz w:val="32"/>
          <w:szCs w:val="32"/>
        </w:rPr>
        <w:t>领导信息</w:t>
      </w:r>
      <w:r>
        <w:rPr>
          <w:rFonts w:hint="eastAsia" w:ascii="仿宋_GB2312" w:hAnsi="宋体" w:eastAsia="仿宋_GB2312" w:cs="Helvetica"/>
          <w:kern w:val="0"/>
          <w:sz w:val="32"/>
          <w:szCs w:val="32"/>
        </w:rPr>
        <w:t>、办公地址、办公时间、联系方式、</w:t>
      </w:r>
      <w:r>
        <w:rPr>
          <w:rFonts w:hint="eastAsia" w:ascii="仿宋_GB2312" w:hAnsi="宋体" w:eastAsia="仿宋_GB2312" w:cs="Helvetica"/>
          <w:kern w:val="0"/>
          <w:sz w:val="32"/>
          <w:szCs w:val="32"/>
          <w:lang w:eastAsia="zh-CN"/>
        </w:rPr>
        <w:t>权责清单、财政预决算、行政许可处罚、建议提案办理</w:t>
      </w:r>
      <w:r>
        <w:rPr>
          <w:rFonts w:hint="eastAsia" w:ascii="仿宋_GB2312" w:hAnsi="宋体" w:eastAsia="仿宋_GB2312" w:cs="Helvetica"/>
          <w:kern w:val="0"/>
          <w:sz w:val="32"/>
          <w:szCs w:val="32"/>
        </w:rPr>
        <w:t>。</w:t>
      </w:r>
      <w:r>
        <w:rPr>
          <w:rFonts w:hint="eastAsia" w:ascii="仿宋_GB2312" w:hAnsi="Calibri" w:eastAsia="仿宋_GB2312" w:cs="Times New Roman"/>
          <w:sz w:val="32"/>
          <w:szCs w:val="32"/>
        </w:rPr>
        <w:t>网站首页主要包括商务动态、图片新闻、领导讲话、通知公告、统计</w:t>
      </w:r>
      <w:r>
        <w:rPr>
          <w:rFonts w:hint="eastAsia" w:ascii="仿宋_GB2312" w:hAnsi="Calibri" w:eastAsia="仿宋_GB2312" w:cs="Times New Roman"/>
          <w:sz w:val="32"/>
          <w:szCs w:val="32"/>
          <w:lang w:eastAsia="zh-CN"/>
        </w:rPr>
        <w:t>数据</w:t>
      </w:r>
      <w:r>
        <w:rPr>
          <w:rFonts w:hint="eastAsia" w:ascii="仿宋_GB2312" w:hAnsi="Calibri" w:eastAsia="仿宋_GB2312" w:cs="Times New Roman"/>
          <w:sz w:val="32"/>
          <w:szCs w:val="32"/>
        </w:rPr>
        <w:t>、重要专题、党建之窗</w:t>
      </w:r>
      <w:r>
        <w:rPr>
          <w:rFonts w:hint="eastAsia" w:ascii="仿宋_GB2312" w:hAnsi="Calibri" w:eastAsia="仿宋_GB2312" w:cs="Times New Roman"/>
          <w:sz w:val="32"/>
          <w:szCs w:val="32"/>
          <w:lang w:eastAsia="zh-CN"/>
        </w:rPr>
        <w:t>、政务服务</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政民互动和政务公开</w:t>
      </w:r>
      <w:r>
        <w:rPr>
          <w:rFonts w:hint="eastAsia" w:ascii="仿宋_GB2312" w:hAnsi="Calibri" w:eastAsia="仿宋_GB2312" w:cs="Times New Roman"/>
          <w:sz w:val="32"/>
          <w:szCs w:val="32"/>
        </w:rPr>
        <w:t>版块。按照</w:t>
      </w:r>
      <w:r>
        <w:rPr>
          <w:rFonts w:hint="eastAsia" w:ascii="仿宋_GB2312" w:hAnsi="Calibri" w:eastAsia="仿宋_GB2312" w:cs="Times New Roman"/>
          <w:sz w:val="32"/>
          <w:szCs w:val="32"/>
          <w:lang w:eastAsia="zh-CN"/>
        </w:rPr>
        <w:t>市委、市政府工作要求，我局将</w:t>
      </w:r>
      <w:r>
        <w:rPr>
          <w:rFonts w:hint="eastAsia" w:ascii="仿宋_GB2312" w:hAnsi="Calibri" w:eastAsia="仿宋_GB2312" w:cs="Times New Roman"/>
          <w:sz w:val="32"/>
          <w:szCs w:val="32"/>
        </w:rPr>
        <w:t>门户网站</w:t>
      </w:r>
      <w:r>
        <w:rPr>
          <w:rFonts w:hint="eastAsia" w:ascii="仿宋_GB2312" w:hAnsi="Calibri" w:eastAsia="仿宋_GB2312" w:cs="Times New Roman"/>
          <w:sz w:val="32"/>
          <w:szCs w:val="32"/>
          <w:lang w:eastAsia="zh-CN"/>
        </w:rPr>
        <w:t>迁移到市政府网站统一技术平台，并对个别重点板块进行了调整</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目前，网站运行顺利，</w:t>
      </w:r>
      <w:r>
        <w:rPr>
          <w:rFonts w:hint="eastAsia" w:ascii="仿宋_GB2312" w:hAnsi="Calibri" w:eastAsia="仿宋_GB2312" w:cs="Times New Roman"/>
          <w:sz w:val="32"/>
          <w:szCs w:val="32"/>
        </w:rPr>
        <w:t>版块齐全、内容丰富，</w:t>
      </w:r>
      <w:r>
        <w:rPr>
          <w:rFonts w:hint="eastAsia" w:ascii="仿宋_GB2312" w:eastAsia="仿宋_GB2312"/>
          <w:sz w:val="32"/>
          <w:szCs w:val="32"/>
        </w:rPr>
        <w:t>全年</w:t>
      </w:r>
      <w:r>
        <w:rPr>
          <w:rFonts w:hint="eastAsia" w:ascii="仿宋_GB2312" w:eastAsia="仿宋_GB2312"/>
          <w:sz w:val="32"/>
          <w:szCs w:val="32"/>
          <w:lang w:eastAsia="zh-CN"/>
        </w:rPr>
        <w:t>共</w:t>
      </w:r>
      <w:r>
        <w:rPr>
          <w:rFonts w:hint="eastAsia" w:ascii="仿宋_GB2312" w:eastAsia="仿宋_GB2312"/>
          <w:sz w:val="32"/>
          <w:szCs w:val="32"/>
        </w:rPr>
        <w:t>发布各类商务信息及其他信息</w:t>
      </w:r>
      <w:r>
        <w:rPr>
          <w:rFonts w:hint="eastAsia" w:ascii="仿宋_GB2312" w:eastAsia="仿宋_GB2312"/>
          <w:sz w:val="32"/>
          <w:szCs w:val="32"/>
          <w:lang w:val="en-US" w:eastAsia="zh-CN"/>
        </w:rPr>
        <w:t>553</w:t>
      </w:r>
      <w:r>
        <w:rPr>
          <w:rFonts w:hint="eastAsia" w:ascii="仿宋_GB2312" w:eastAsia="仿宋_GB2312"/>
          <w:sz w:val="32"/>
          <w:szCs w:val="32"/>
        </w:rPr>
        <w:t>条。</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第二，</w:t>
      </w:r>
      <w:r>
        <w:rPr>
          <w:rFonts w:hint="eastAsia" w:ascii="仿宋_GB2312" w:eastAsia="仿宋_GB2312"/>
          <w:sz w:val="32"/>
          <w:szCs w:val="32"/>
        </w:rPr>
        <w:t>做好网上办事大厅服务工作，提高办事效率和透明度。我部门承担的“放管服”工作，目前在市民之家的窗口经过合理调整、归并审批职责，将局机关包括外资、外贸、外经、内贸四大类的所有行政许可、服务事项全部调整入驻市民之家服务窗口，开展“一网通办”；并建立了“一个领导分管、一个科室承办、一个窗口对外、一枚印章签批、一站式办结”的“五个一”行政审批服务新机制。对审批项目办理实行“材料齐全即时办、材料不全边补充边办”，在不违反法律法规要求的前提下，简化办事程序，进一步压缩承诺办结时限。</w:t>
      </w:r>
    </w:p>
    <w:p>
      <w:pPr>
        <w:widowControl/>
        <w:shd w:val="clear"/>
        <w:spacing w:line="360" w:lineRule="auto"/>
        <w:ind w:left="0" w:leftChars="0" w:right="0" w:rightChars="0" w:firstLine="640" w:firstLineChars="200"/>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lang w:eastAsia="zh-CN"/>
        </w:rPr>
        <w:t>第三，</w:t>
      </w:r>
      <w:r>
        <w:rPr>
          <w:rFonts w:hint="eastAsia" w:ascii="仿宋_GB2312" w:hAnsi="微软雅黑" w:eastAsia="仿宋_GB2312" w:cs="Helvetica"/>
          <w:kern w:val="0"/>
          <w:sz w:val="32"/>
          <w:szCs w:val="32"/>
        </w:rPr>
        <w:t>梳理我局权责清单并在局门户网予以公布，共梳理完成政务服务事项</w:t>
      </w:r>
      <w:r>
        <w:rPr>
          <w:rFonts w:hint="eastAsia" w:ascii="仿宋_GB2312" w:hAnsi="微软雅黑" w:eastAsia="仿宋_GB2312" w:cs="Helvetica"/>
          <w:kern w:val="0"/>
          <w:sz w:val="32"/>
          <w:szCs w:val="32"/>
          <w:lang w:val="en-US" w:eastAsia="zh-CN"/>
        </w:rPr>
        <w:t>27</w:t>
      </w:r>
      <w:r>
        <w:rPr>
          <w:rFonts w:hint="eastAsia" w:ascii="仿宋_GB2312" w:hAnsi="微软雅黑" w:eastAsia="仿宋_GB2312" w:cs="Helvetica"/>
          <w:kern w:val="0"/>
          <w:sz w:val="32"/>
          <w:szCs w:val="32"/>
        </w:rPr>
        <w:t>项，全部可以在线进行办理，202</w:t>
      </w:r>
      <w:r>
        <w:rPr>
          <w:rFonts w:hint="eastAsia" w:ascii="仿宋_GB2312" w:hAnsi="微软雅黑" w:eastAsia="仿宋_GB2312" w:cs="Helvetica"/>
          <w:kern w:val="0"/>
          <w:sz w:val="32"/>
          <w:szCs w:val="32"/>
          <w:lang w:val="en-US" w:eastAsia="zh-CN"/>
        </w:rPr>
        <w:t>1</w:t>
      </w:r>
      <w:r>
        <w:rPr>
          <w:rFonts w:hint="eastAsia" w:ascii="仿宋_GB2312" w:hAnsi="微软雅黑" w:eastAsia="仿宋_GB2312" w:cs="Helvetica"/>
          <w:kern w:val="0"/>
          <w:sz w:val="32"/>
          <w:szCs w:val="32"/>
        </w:rPr>
        <w:t>年办件量</w:t>
      </w:r>
      <w:r>
        <w:rPr>
          <w:rFonts w:hint="eastAsia" w:ascii="仿宋_GB2312" w:hAnsi="微软雅黑" w:eastAsia="仿宋_GB2312" w:cs="Helvetica"/>
          <w:kern w:val="0"/>
          <w:sz w:val="32"/>
          <w:szCs w:val="32"/>
          <w:lang w:val="en-US" w:eastAsia="zh-CN"/>
        </w:rPr>
        <w:t>204</w:t>
      </w:r>
      <w:r>
        <w:rPr>
          <w:rFonts w:hint="eastAsia" w:ascii="仿宋_GB2312" w:hAnsi="微软雅黑" w:eastAsia="仿宋_GB2312" w:cs="Helvetica"/>
          <w:kern w:val="0"/>
          <w:sz w:val="32"/>
          <w:szCs w:val="32"/>
        </w:rPr>
        <w:t>件。</w:t>
      </w:r>
    </w:p>
    <w:p>
      <w:pPr>
        <w:widowControl/>
        <w:shd w:val="clear"/>
        <w:spacing w:line="360" w:lineRule="auto"/>
        <w:ind w:left="0" w:leftChars="0" w:right="0" w:rightChars="0" w:firstLine="640" w:firstLineChars="200"/>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lang w:eastAsia="zh-CN"/>
        </w:rPr>
        <w:t>第四，</w:t>
      </w:r>
      <w:r>
        <w:rPr>
          <w:rFonts w:hint="eastAsia" w:ascii="仿宋_GB2312" w:hAnsi="微软雅黑" w:eastAsia="仿宋_GB2312" w:cs="Helvetica"/>
          <w:kern w:val="0"/>
          <w:sz w:val="32"/>
          <w:szCs w:val="32"/>
        </w:rPr>
        <w:t>拓宽和创新信息公开方式和渠道，更好地为企业和公众提供信息服务。</w:t>
      </w:r>
    </w:p>
    <w:p>
      <w:pPr>
        <w:widowControl/>
        <w:shd w:val="clear"/>
        <w:spacing w:line="360" w:lineRule="auto"/>
        <w:ind w:left="0" w:leftChars="0" w:right="0" w:rightChars="0" w:firstLine="960" w:firstLineChars="300"/>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1、通过安阳市商务局微信公众号、微博等新媒体，全年共发布信息</w:t>
      </w:r>
      <w:r>
        <w:rPr>
          <w:rFonts w:hint="eastAsia" w:ascii="仿宋_GB2312" w:hAnsi="微软雅黑" w:eastAsia="仿宋_GB2312" w:cs="Helvetica"/>
          <w:kern w:val="0"/>
          <w:sz w:val="32"/>
          <w:szCs w:val="32"/>
          <w:lang w:val="en-US" w:eastAsia="zh-CN"/>
        </w:rPr>
        <w:t>272</w:t>
      </w:r>
      <w:r>
        <w:rPr>
          <w:rFonts w:hint="eastAsia" w:ascii="仿宋_GB2312" w:hAnsi="微软雅黑" w:eastAsia="仿宋_GB2312" w:cs="Helvetica"/>
          <w:kern w:val="0"/>
          <w:sz w:val="32"/>
          <w:szCs w:val="32"/>
        </w:rPr>
        <w:t>条。</w:t>
      </w:r>
    </w:p>
    <w:p>
      <w:pPr>
        <w:widowControl/>
        <w:shd w:val="clear"/>
        <w:spacing w:line="360" w:lineRule="auto"/>
        <w:ind w:left="0" w:leftChars="0" w:right="0" w:rightChars="0" w:firstLine="960" w:firstLineChars="300"/>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2、门户网站办结留言</w:t>
      </w:r>
      <w:r>
        <w:rPr>
          <w:rFonts w:hint="eastAsia" w:ascii="仿宋_GB2312" w:hAnsi="微软雅黑" w:eastAsia="仿宋_GB2312" w:cs="Helvetica"/>
          <w:kern w:val="0"/>
          <w:sz w:val="32"/>
          <w:szCs w:val="32"/>
          <w:lang w:val="en-US" w:eastAsia="zh-CN"/>
        </w:rPr>
        <w:t>152</w:t>
      </w:r>
      <w:r>
        <w:rPr>
          <w:rFonts w:hint="eastAsia" w:ascii="仿宋_GB2312" w:hAnsi="微软雅黑" w:eastAsia="仿宋_GB2312" w:cs="Helvetica"/>
          <w:kern w:val="0"/>
          <w:sz w:val="32"/>
          <w:szCs w:val="32"/>
        </w:rPr>
        <w:t>条。</w:t>
      </w:r>
    </w:p>
    <w:p>
      <w:pPr>
        <w:widowControl/>
        <w:shd w:val="clear"/>
        <w:spacing w:line="360" w:lineRule="auto"/>
        <w:ind w:left="0" w:leftChars="0" w:right="0" w:rightChars="0" w:firstLine="960" w:firstLineChars="300"/>
        <w:jc w:val="left"/>
        <w:rPr>
          <w:rFonts w:hint="eastAsia" w:ascii="仿宋_GB2312" w:hAnsi="宋体" w:eastAsia="仿宋_GB2312" w:cs="Helvetica"/>
          <w:kern w:val="0"/>
          <w:sz w:val="32"/>
          <w:szCs w:val="32"/>
        </w:rPr>
      </w:pPr>
      <w:r>
        <w:rPr>
          <w:rFonts w:hint="eastAsia" w:ascii="仿宋_GB2312" w:hAnsi="宋体" w:eastAsia="仿宋_GB2312" w:cs="Helvetica"/>
          <w:kern w:val="0"/>
          <w:sz w:val="32"/>
          <w:szCs w:val="32"/>
        </w:rPr>
        <w:t>3、202</w:t>
      </w:r>
      <w:r>
        <w:rPr>
          <w:rFonts w:hint="eastAsia" w:ascii="仿宋_GB2312" w:hAnsi="宋体" w:eastAsia="仿宋_GB2312" w:cs="Helvetica"/>
          <w:kern w:val="0"/>
          <w:sz w:val="32"/>
          <w:szCs w:val="32"/>
          <w:lang w:val="en-US" w:eastAsia="zh-CN"/>
        </w:rPr>
        <w:t>1</w:t>
      </w:r>
      <w:r>
        <w:rPr>
          <w:rFonts w:hint="eastAsia" w:ascii="仿宋_GB2312" w:hAnsi="宋体" w:eastAsia="仿宋_GB2312" w:cs="Helvetica"/>
          <w:kern w:val="0"/>
          <w:sz w:val="32"/>
          <w:szCs w:val="32"/>
        </w:rPr>
        <w:t>年发布市场运行监测数据及分析</w:t>
      </w:r>
      <w:r>
        <w:rPr>
          <w:rFonts w:hint="eastAsia" w:ascii="仿宋_GB2312" w:hAnsi="微软雅黑" w:eastAsia="仿宋_GB2312" w:cs="Helvetica"/>
          <w:kern w:val="0"/>
          <w:sz w:val="32"/>
          <w:szCs w:val="32"/>
          <w:lang w:val="en-US" w:eastAsia="zh-CN"/>
        </w:rPr>
        <w:t>47</w:t>
      </w:r>
      <w:r>
        <w:rPr>
          <w:rFonts w:hint="eastAsia" w:ascii="仿宋_GB2312" w:hAnsi="宋体" w:eastAsia="仿宋_GB2312" w:cs="Helvetica"/>
          <w:kern w:val="0"/>
          <w:sz w:val="32"/>
          <w:szCs w:val="32"/>
        </w:rPr>
        <w:t>件；成品油零售资格企业信息</w:t>
      </w:r>
      <w:r>
        <w:rPr>
          <w:rFonts w:hint="eastAsia" w:ascii="仿宋_GB2312" w:hAnsi="微软雅黑" w:eastAsia="仿宋_GB2312" w:cs="Helvetica"/>
          <w:kern w:val="0"/>
          <w:sz w:val="32"/>
          <w:szCs w:val="32"/>
          <w:lang w:val="en-US" w:eastAsia="zh-CN"/>
        </w:rPr>
        <w:t>8</w:t>
      </w:r>
      <w:r>
        <w:rPr>
          <w:rFonts w:hint="eastAsia" w:ascii="仿宋_GB2312" w:hAnsi="宋体" w:eastAsia="仿宋_GB2312" w:cs="Helvetica"/>
          <w:kern w:val="0"/>
          <w:sz w:val="32"/>
          <w:szCs w:val="32"/>
        </w:rPr>
        <w:t>家；规范性文件</w:t>
      </w:r>
      <w:r>
        <w:rPr>
          <w:rFonts w:hint="eastAsia" w:ascii="仿宋_GB2312" w:hAnsi="微软雅黑" w:eastAsia="仿宋_GB2312" w:cs="Helvetica"/>
          <w:kern w:val="0"/>
          <w:sz w:val="32"/>
          <w:szCs w:val="32"/>
          <w:lang w:val="en-US" w:eastAsia="zh-CN"/>
        </w:rPr>
        <w:t>2</w:t>
      </w:r>
      <w:r>
        <w:rPr>
          <w:rFonts w:hint="eastAsia" w:ascii="仿宋_GB2312" w:hAnsi="宋体" w:eastAsia="仿宋_GB2312" w:cs="Helvetica"/>
          <w:kern w:val="0"/>
          <w:sz w:val="32"/>
          <w:szCs w:val="32"/>
        </w:rPr>
        <w:t>件、政策解读</w:t>
      </w:r>
      <w:r>
        <w:rPr>
          <w:rFonts w:hint="eastAsia" w:ascii="仿宋_GB2312" w:hAnsi="微软雅黑" w:eastAsia="仿宋_GB2312" w:cs="Helvetica"/>
          <w:kern w:val="0"/>
          <w:sz w:val="32"/>
          <w:szCs w:val="32"/>
        </w:rPr>
        <w:t>4</w:t>
      </w:r>
      <w:r>
        <w:rPr>
          <w:rFonts w:hint="eastAsia" w:ascii="仿宋_GB2312" w:hAnsi="宋体" w:eastAsia="仿宋_GB2312" w:cs="Helvetica"/>
          <w:kern w:val="0"/>
          <w:sz w:val="32"/>
          <w:szCs w:val="32"/>
        </w:rPr>
        <w:t>件。</w:t>
      </w:r>
    </w:p>
    <w:p>
      <w:pPr>
        <w:widowControl/>
        <w:shd w:val="clear"/>
        <w:spacing w:line="360" w:lineRule="auto"/>
        <w:ind w:left="0" w:leftChars="0" w:right="0" w:rightChars="0" w:firstLine="960" w:firstLineChars="300"/>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4、局主要负责人做客</w:t>
      </w:r>
      <w:r>
        <w:rPr>
          <w:rFonts w:hint="eastAsia" w:ascii="仿宋_GB2312" w:hAnsi="微软雅黑" w:eastAsia="仿宋_GB2312" w:cs="Helvetica"/>
          <w:kern w:val="0"/>
          <w:sz w:val="32"/>
          <w:szCs w:val="32"/>
          <w:lang w:eastAsia="zh-CN"/>
        </w:rPr>
        <w:t>市民之家“在线访谈”栏目</w:t>
      </w:r>
      <w:r>
        <w:rPr>
          <w:rFonts w:hint="eastAsia" w:ascii="仿宋_GB2312" w:hAnsi="微软雅黑" w:eastAsia="仿宋_GB2312" w:cs="Helvetica"/>
          <w:kern w:val="0"/>
          <w:sz w:val="32"/>
          <w:szCs w:val="32"/>
        </w:rPr>
        <w:t>，与广大市民沟通、交流,回应市民有关我市招商引资、电子商务、商贸流通管理、成品油市场管理等热点问题</w:t>
      </w:r>
      <w:r>
        <w:rPr>
          <w:rFonts w:hint="eastAsia" w:ascii="仿宋_GB2312" w:hAnsi="微软雅黑" w:eastAsia="仿宋_GB2312" w:cs="Helvetica"/>
          <w:kern w:val="0"/>
          <w:sz w:val="32"/>
          <w:szCs w:val="32"/>
          <w:lang w:val="en-US" w:eastAsia="zh-CN"/>
        </w:rPr>
        <w:t>74</w:t>
      </w:r>
      <w:r>
        <w:rPr>
          <w:rFonts w:hint="eastAsia" w:ascii="仿宋_GB2312" w:hAnsi="微软雅黑" w:eastAsia="仿宋_GB2312" w:cs="Helvetica"/>
          <w:kern w:val="0"/>
          <w:sz w:val="32"/>
          <w:szCs w:val="32"/>
        </w:rPr>
        <w:t>条。</w:t>
      </w:r>
    </w:p>
    <w:p>
      <w:pPr>
        <w:widowControl/>
        <w:shd w:val="clear"/>
        <w:spacing w:line="360" w:lineRule="auto"/>
        <w:ind w:left="0" w:leftChars="0" w:right="0" w:rightChars="0" w:firstLine="960" w:firstLineChars="300"/>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highlight w:val="none"/>
        </w:rPr>
        <w:t>5、</w:t>
      </w:r>
      <w:r>
        <w:rPr>
          <w:rFonts w:hint="eastAsia" w:ascii="仿宋_GB2312" w:hAnsi="微软雅黑" w:eastAsia="仿宋_GB2312" w:cs="Helvetica"/>
          <w:kern w:val="0"/>
          <w:sz w:val="32"/>
          <w:szCs w:val="32"/>
        </w:rPr>
        <w:t>在局门户网站发布政务动态信息</w:t>
      </w:r>
      <w:r>
        <w:rPr>
          <w:rFonts w:hint="eastAsia" w:ascii="仿宋_GB2312" w:hAnsi="微软雅黑" w:eastAsia="仿宋_GB2312" w:cs="Helvetica"/>
          <w:kern w:val="0"/>
          <w:sz w:val="32"/>
          <w:szCs w:val="32"/>
          <w:lang w:val="en-US" w:eastAsia="zh-CN"/>
        </w:rPr>
        <w:t>138</w:t>
      </w:r>
      <w:r>
        <w:rPr>
          <w:rFonts w:hint="eastAsia" w:ascii="仿宋_GB2312" w:hAnsi="微软雅黑" w:eastAsia="仿宋_GB2312" w:cs="Helvetica"/>
          <w:kern w:val="0"/>
          <w:sz w:val="32"/>
          <w:szCs w:val="32"/>
        </w:rPr>
        <w:t>篇，向安阳日报、河南日报、大河报、东方今报上投稿信息30余篇，并通过新媒体发布商务信息20余篇。</w:t>
      </w:r>
    </w:p>
    <w:p>
      <w:pPr>
        <w:widowControl/>
        <w:shd w:val="clear"/>
        <w:spacing w:line="360" w:lineRule="auto"/>
        <w:ind w:left="0" w:leftChars="0" w:right="0" w:rightChars="0" w:firstLine="960" w:firstLineChars="300"/>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6、通过举办政策宣讲会、培训班、调研走访基层或企业，向企业和公众宣传各级政府扶促商务发展的政策措施，帮助企业解决困难和问题。</w:t>
      </w:r>
    </w:p>
    <w:p>
      <w:pPr>
        <w:widowControl/>
        <w:shd w:val="clear"/>
        <w:spacing w:line="360" w:lineRule="auto"/>
        <w:ind w:left="0" w:leftChars="0" w:right="0" w:rightChars="0" w:firstLine="960" w:firstLineChars="300"/>
        <w:jc w:val="left"/>
        <w:rPr>
          <w:rFonts w:hint="eastAsia" w:ascii="仿宋_GB2312" w:hAnsi="微软雅黑" w:eastAsia="仿宋_GB2312" w:cs="Helvetica"/>
          <w:kern w:val="0"/>
          <w:sz w:val="32"/>
          <w:szCs w:val="32"/>
        </w:rPr>
      </w:pPr>
      <w:r>
        <w:rPr>
          <w:rFonts w:hint="eastAsia" w:ascii="仿宋_GB2312" w:hAnsi="微软雅黑" w:eastAsia="仿宋_GB2312" w:cs="Helvetica"/>
          <w:kern w:val="0"/>
          <w:sz w:val="32"/>
          <w:szCs w:val="32"/>
        </w:rPr>
        <w:t>7、在局办公大楼设立党务政务公开栏目、公示公告板和投诉箱，公布有关信息，接受舆论和群众的咨询和监督。</w:t>
      </w:r>
    </w:p>
    <w:p>
      <w:pPr>
        <w:widowControl/>
        <w:shd w:val="clear"/>
        <w:spacing w:line="360" w:lineRule="auto"/>
        <w:ind w:left="0" w:leftChars="0" w:right="0" w:rightChars="0" w:firstLine="640" w:firstLineChars="200"/>
        <w:jc w:val="left"/>
        <w:rPr>
          <w:rFonts w:ascii="微软雅黑" w:hAnsi="微软雅黑" w:eastAsia="微软雅黑" w:cs="Helvetica"/>
          <w:kern w:val="0"/>
          <w:sz w:val="23"/>
          <w:szCs w:val="23"/>
        </w:rPr>
      </w:pPr>
      <w:r>
        <w:rPr>
          <w:rFonts w:hint="eastAsia" w:ascii="仿宋_GB2312" w:hAnsi="宋体" w:eastAsia="仿宋_GB2312" w:cs="Helvetica"/>
          <w:kern w:val="0"/>
          <w:sz w:val="32"/>
          <w:szCs w:val="32"/>
        </w:rPr>
        <w:t>　</w:t>
      </w:r>
    </w:p>
    <w:tbl>
      <w:tblPr>
        <w:tblStyle w:val="4"/>
        <w:tblW w:w="8140" w:type="dxa"/>
        <w:jc w:val="center"/>
        <w:tblLayout w:type="autofit"/>
        <w:tblCellMar>
          <w:top w:w="0" w:type="dxa"/>
          <w:left w:w="0" w:type="dxa"/>
          <w:bottom w:w="0" w:type="dxa"/>
          <w:right w:w="0" w:type="dxa"/>
        </w:tblCellMar>
      </w:tblPr>
      <w:tblGrid>
        <w:gridCol w:w="3113"/>
        <w:gridCol w:w="1875"/>
        <w:gridCol w:w="6"/>
        <w:gridCol w:w="1265"/>
        <w:gridCol w:w="1881"/>
      </w:tblGrid>
      <w:tr>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Calibri" w:hAnsi="Calibri" w:eastAsia="宋体" w:cs="Times New Roman"/>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Calibri" w:hAnsi="Calibri" w:eastAsia="宋体" w:cs="Times New Roman"/>
                <w:kern w:val="0"/>
                <w:sz w:val="20"/>
                <w:szCs w:val="20"/>
              </w:rPr>
              <w:t>公开数量</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left"/>
              <w:rPr>
                <w:rFonts w:ascii="Calibri" w:hAnsi="Calibri" w:eastAsia="宋体" w:cs="Times New Roman"/>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hd w:val="clear"/>
              <w:spacing w:line="360" w:lineRule="auto"/>
              <w:ind w:left="0" w:leftChars="0" w:right="0" w:rightChars="0" w:firstLine="420" w:firstLineChars="200"/>
              <w:jc w:val="center"/>
              <w:rPr>
                <w:rFonts w:ascii="Calibri" w:hAnsi="Calibri" w:eastAsia="宋体" w:cs="Times New Roman"/>
              </w:rPr>
            </w:pPr>
            <w:r>
              <w:rPr>
                <w:rFonts w:hint="eastAsia" w:ascii="Calibri" w:hAnsi="Calibri" w:eastAsia="宋体" w:cs="Times New Roman"/>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ascii="Calibri" w:hAnsi="Calibri" w:eastAsia="宋体" w:cs="Times New Roman"/>
              </w:rPr>
            </w:pPr>
            <w:r>
              <w:rPr>
                <w:rFonts w:hint="eastAsia" w:ascii="Calibri" w:hAnsi="Calibri" w:eastAsia="宋体" w:cs="Times New Roma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left"/>
              <w:rPr>
                <w:rFonts w:ascii="Calibri" w:hAnsi="Calibri" w:eastAsia="宋体" w:cs="Times New Roman"/>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2</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hd w:val="clear"/>
              <w:spacing w:line="360" w:lineRule="auto"/>
              <w:ind w:left="0" w:leftChars="0" w:right="0" w:rightChars="0" w:firstLine="420" w:firstLineChars="200"/>
              <w:jc w:val="center"/>
              <w:rPr>
                <w:rFonts w:ascii="Calibri" w:hAnsi="Calibri" w:eastAsia="宋体" w:cs="Times New Roman"/>
              </w:rPr>
            </w:pPr>
            <w:r>
              <w:rPr>
                <w:rFonts w:hint="eastAsia" w:ascii="Calibri" w:hAnsi="Calibri" w:eastAsia="宋体" w:cs="Times New Roman"/>
              </w:rPr>
              <w:t>2</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ascii="Calibri" w:hAnsi="Calibri" w:eastAsia="宋体" w:cs="Times New Roman"/>
              </w:rPr>
            </w:pPr>
            <w:r>
              <w:rPr>
                <w:rFonts w:hint="eastAsia" w:ascii="Calibri" w:hAnsi="Calibri" w:eastAsia="宋体" w:cs="Times New Roman"/>
              </w:rPr>
              <w:t>2</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753"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left"/>
              <w:rPr>
                <w:rFonts w:ascii="Calibri" w:hAnsi="Calibri" w:eastAsia="宋体" w:cs="Times New Roman"/>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224</w:t>
            </w:r>
          </w:p>
        </w:tc>
        <w:tc>
          <w:tcPr>
            <w:tcW w:w="1265"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-20</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204</w:t>
            </w:r>
          </w:p>
        </w:tc>
      </w:tr>
      <w:tr>
        <w:trPr>
          <w:trHeight w:val="55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left"/>
              <w:rPr>
                <w:rFonts w:ascii="Calibri" w:hAnsi="Calibri" w:eastAsia="宋体" w:cs="Times New Roman"/>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462</w:t>
            </w:r>
          </w:p>
        </w:tc>
        <w:tc>
          <w:tcPr>
            <w:tcW w:w="1265"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+724</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1186</w:t>
            </w:r>
          </w:p>
        </w:tc>
      </w:tr>
      <w:tr>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left"/>
              <w:rPr>
                <w:rFonts w:ascii="Calibri" w:hAnsi="Calibri" w:eastAsia="宋体" w:cs="Times New Roman"/>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ascii="Calibri" w:hAnsi="Calibri" w:eastAsia="宋体" w:cs="Times New Roman"/>
              </w:rPr>
            </w:pPr>
            <w:r>
              <w:rPr>
                <w:rFonts w:hint="eastAsia" w:ascii="Calibri" w:hAnsi="Calibri" w:eastAsia="宋体" w:cs="Times New Roman"/>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ascii="Calibri" w:hAnsi="Calibri" w:eastAsia="宋体" w:cs="Times New Roman"/>
              </w:rPr>
            </w:pPr>
            <w:r>
              <w:rPr>
                <w:rFonts w:hint="eastAsia" w:ascii="Calibri" w:hAnsi="Calibri" w:eastAsia="宋体" w:cs="Times New Roman"/>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ascii="Calibri" w:hAnsi="Calibri" w:eastAsia="宋体" w:cs="Times New Roman"/>
              </w:rPr>
            </w:pPr>
            <w:r>
              <w:rPr>
                <w:rFonts w:hint="eastAsia" w:ascii="Calibri" w:hAnsi="Calibri" w:eastAsia="宋体" w:cs="Times New Roma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left"/>
              <w:rPr>
                <w:rFonts w:ascii="Calibri" w:hAnsi="Calibri" w:eastAsia="宋体" w:cs="Times New Roman"/>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ascii="Calibri" w:hAnsi="Calibri" w:eastAsia="宋体" w:cs="Times New Roman"/>
              </w:rPr>
            </w:pPr>
            <w:r>
              <w:rPr>
                <w:rFonts w:hint="eastAsia" w:ascii="Calibri" w:hAnsi="Calibri" w:eastAsia="宋体" w:cs="Times New Roman"/>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ascii="Calibri" w:hAnsi="Calibri" w:eastAsia="宋体" w:cs="Times New Roman"/>
              </w:rPr>
            </w:pPr>
            <w:r>
              <w:rPr>
                <w:rFonts w:hint="eastAsia" w:ascii="Calibri" w:hAnsi="Calibri" w:eastAsia="宋体" w:cs="Times New Roman"/>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ascii="Calibri" w:hAnsi="Calibri" w:eastAsia="宋体" w:cs="Times New Roman"/>
              </w:rPr>
            </w:pPr>
            <w:r>
              <w:rPr>
                <w:rFonts w:hint="eastAsia" w:ascii="Calibri" w:hAnsi="Calibri" w:eastAsia="宋体" w:cs="Times New Roman"/>
                <w:b w:val="0"/>
                <w:bCs w:val="0"/>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left"/>
              <w:rPr>
                <w:rFonts w:ascii="Calibri" w:hAnsi="Calibri" w:eastAsia="宋体" w:cs="Times New Roman"/>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left"/>
              <w:rPr>
                <w:rFonts w:ascii="Calibri" w:hAnsi="Calibri" w:eastAsia="宋体" w:cs="Times New Roman"/>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0</w:t>
            </w:r>
          </w:p>
        </w:tc>
        <w:tc>
          <w:tcPr>
            <w:tcW w:w="3146" w:type="dxa"/>
            <w:gridSpan w:val="2"/>
            <w:tcBorders>
              <w:top w:val="nil"/>
              <w:left w:val="nil"/>
              <w:bottom w:val="single" w:color="auto" w:sz="8" w:space="0"/>
              <w:right w:val="single" w:color="000000"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ascii="Calibri" w:hAnsi="Calibri" w:eastAsia="宋体" w:cs="Times New Roman"/>
              </w:rPr>
            </w:pPr>
            <w:r>
              <w:rPr>
                <w:rFonts w:hint="eastAsia" w:ascii="Calibri" w:hAnsi="Calibri" w:eastAsia="宋体" w:cs="Times New Roman"/>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widowControl/>
              <w:shd w:val="clear"/>
              <w:spacing w:line="360" w:lineRule="auto"/>
              <w:ind w:left="0" w:leftChars="0" w:right="0" w:rightChars="0" w:firstLine="400" w:firstLineChars="200"/>
              <w:jc w:val="center"/>
              <w:rPr>
                <w:rFonts w:ascii="Calibri" w:hAnsi="Calibri" w:eastAsia="宋体" w:cs="Times New Roman"/>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00" w:firstLineChars="200"/>
              <w:jc w:val="left"/>
              <w:rPr>
                <w:rFonts w:ascii="Calibri" w:hAnsi="Calibri" w:eastAsia="宋体" w:cs="Times New Roman"/>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widowControl/>
              <w:shd w:val="clear"/>
              <w:spacing w:line="360" w:lineRule="auto"/>
              <w:ind w:left="0" w:leftChars="0" w:right="0" w:rightChars="0" w:firstLine="420" w:firstLineChars="200"/>
              <w:jc w:val="center"/>
              <w:rPr>
                <w:rFonts w:ascii="Calibri" w:hAnsi="Calibri" w:eastAsia="宋体" w:cs="Times New Roman"/>
              </w:rPr>
            </w:pPr>
            <w:r>
              <w:rPr>
                <w:rFonts w:hint="eastAsia" w:ascii="Calibri" w:hAnsi="Calibri" w:eastAsia="宋体" w:cs="Times New Roman"/>
              </w:rPr>
              <w:t>4笔</w:t>
            </w:r>
          </w:p>
        </w:tc>
        <w:tc>
          <w:tcPr>
            <w:tcW w:w="3146" w:type="dxa"/>
            <w:gridSpan w:val="2"/>
            <w:tcBorders>
              <w:top w:val="nil"/>
              <w:left w:val="nil"/>
              <w:bottom w:val="single" w:color="auto" w:sz="8" w:space="0"/>
              <w:right w:val="single" w:color="000000" w:sz="8" w:space="0"/>
            </w:tcBorders>
            <w:noWrap/>
            <w:tcMar>
              <w:left w:w="108" w:type="dxa"/>
              <w:right w:w="108" w:type="dxa"/>
            </w:tcMar>
            <w:vAlign w:val="center"/>
          </w:tcPr>
          <w:p>
            <w:pPr>
              <w:shd w:val="clear"/>
              <w:spacing w:line="360" w:lineRule="auto"/>
              <w:ind w:left="0" w:leftChars="0" w:right="0" w:rightChars="0" w:firstLine="480" w:firstLineChars="200"/>
              <w:jc w:val="center"/>
              <w:rPr>
                <w:rFonts w:hint="eastAsia" w:ascii="宋体" w:hAnsi="Calibri" w:eastAsia="宋体" w:cs="Times New Roman"/>
                <w:sz w:val="24"/>
              </w:rPr>
            </w:pPr>
            <w:r>
              <w:rPr>
                <w:rFonts w:hint="eastAsia" w:ascii="宋体" w:hAnsi="Calibri" w:eastAsia="宋体" w:cs="Times New Roman"/>
                <w:sz w:val="24"/>
              </w:rPr>
              <w:t>4.</w:t>
            </w:r>
            <w:r>
              <w:rPr>
                <w:rFonts w:hint="eastAsia" w:ascii="宋体" w:hAnsi="Calibri" w:eastAsia="宋体" w:cs="Times New Roman"/>
                <w:sz w:val="24"/>
                <w:lang w:val="en-US" w:eastAsia="zh-CN"/>
              </w:rPr>
              <w:t>383</w:t>
            </w:r>
            <w:r>
              <w:rPr>
                <w:rFonts w:hint="eastAsia" w:ascii="宋体" w:hAnsi="Calibri" w:eastAsia="宋体" w:cs="Times New Roman"/>
                <w:sz w:val="24"/>
              </w:rPr>
              <w:t>万元</w:t>
            </w:r>
          </w:p>
        </w:tc>
      </w:tr>
    </w:tbl>
    <w:p>
      <w:pPr>
        <w:widowControl/>
        <w:shd w:val="clear"/>
        <w:spacing w:line="360" w:lineRule="auto"/>
        <w:ind w:left="0" w:leftChars="0" w:right="0" w:rightChars="0" w:firstLine="460" w:firstLineChars="200"/>
        <w:jc w:val="left"/>
        <w:rPr>
          <w:rFonts w:ascii="微软雅黑" w:hAnsi="微软雅黑" w:eastAsia="微软雅黑" w:cs="Helvetica"/>
          <w:kern w:val="0"/>
          <w:sz w:val="23"/>
          <w:szCs w:val="23"/>
        </w:rPr>
      </w:pPr>
    </w:p>
    <w:p>
      <w:pPr>
        <w:widowControl/>
        <w:shd w:val="clear"/>
        <w:spacing w:line="360" w:lineRule="auto"/>
        <w:ind w:left="0" w:leftChars="0" w:right="0" w:rightChars="0" w:firstLine="640" w:firstLineChars="200"/>
        <w:jc w:val="left"/>
        <w:rPr>
          <w:rFonts w:ascii="微软雅黑" w:hAnsi="微软雅黑" w:eastAsia="微软雅黑" w:cs="Helvetica"/>
          <w:kern w:val="0"/>
          <w:sz w:val="23"/>
          <w:szCs w:val="23"/>
        </w:rPr>
      </w:pPr>
      <w:r>
        <w:rPr>
          <w:rFonts w:hint="eastAsia" w:ascii="黑体" w:hAnsi="黑体" w:eastAsia="黑体" w:cs="Helvetica"/>
          <w:kern w:val="0"/>
          <w:sz w:val="32"/>
          <w:szCs w:val="32"/>
        </w:rPr>
        <w:t>三、行政机关收到和处理政府信息公开申请情况</w:t>
      </w:r>
    </w:p>
    <w:p>
      <w:pPr>
        <w:shd w:val="clear"/>
        <w:spacing w:line="360" w:lineRule="auto"/>
        <w:ind w:left="0" w:leftChars="0" w:right="0" w:rightChars="0" w:firstLine="640" w:firstLineChars="200"/>
        <w:rPr>
          <w:rFonts w:hint="eastAsia" w:ascii="黑体" w:hAnsi="黑体" w:eastAsia="黑体"/>
          <w:sz w:val="32"/>
          <w:szCs w:val="32"/>
        </w:rPr>
      </w:pPr>
      <w:r>
        <w:rPr>
          <w:rFonts w:hint="eastAsia"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年，我局无收到任何组织或个人依申请公开政府信息的情况。</w:t>
      </w:r>
    </w:p>
    <w:p>
      <w:pPr>
        <w:shd w:val="clear"/>
        <w:spacing w:line="360" w:lineRule="auto"/>
        <w:ind w:left="0" w:leftChars="0" w:right="0" w:rightChars="0" w:firstLine="640" w:firstLineChars="200"/>
        <w:rPr>
          <w:rFonts w:hint="eastAsia" w:ascii="黑体" w:hAnsi="黑体" w:eastAsia="黑体" w:cs="Times New Roman"/>
          <w:sz w:val="32"/>
          <w:szCs w:val="32"/>
        </w:rPr>
      </w:pPr>
      <w:r>
        <w:rPr>
          <w:rFonts w:hint="eastAsia" w:ascii="黑体" w:hAnsi="黑体" w:eastAsia="黑体" w:cs="Times New Roman"/>
          <w:sz w:val="32"/>
          <w:szCs w:val="32"/>
        </w:rPr>
        <w:t>四、政府信息公开行政复议、行政诉讼情况</w:t>
      </w:r>
    </w:p>
    <w:p>
      <w:pPr>
        <w:shd w:val="clear"/>
        <w:spacing w:line="360" w:lineRule="auto"/>
        <w:ind w:left="0" w:leftChars="0" w:right="0" w:rightChars="0" w:firstLine="640" w:firstLineChars="200"/>
        <w:rPr>
          <w:rFonts w:ascii="仿宋_GB2312" w:eastAsia="仿宋_GB2312"/>
          <w:sz w:val="32"/>
          <w:szCs w:val="32"/>
        </w:rPr>
      </w:pPr>
      <w:r>
        <w:rPr>
          <w:rFonts w:hint="eastAsia"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年，我局未发生因政府信息公开申请行政复议、提起行政诉讼的情况。</w:t>
      </w:r>
    </w:p>
    <w:p>
      <w:pPr>
        <w:widowControl/>
        <w:shd w:val="clear"/>
        <w:spacing w:line="360" w:lineRule="auto"/>
        <w:ind w:left="0" w:leftChars="0" w:right="0" w:rightChars="0" w:firstLine="640" w:firstLineChars="200"/>
        <w:jc w:val="left"/>
        <w:rPr>
          <w:rFonts w:ascii="微软雅黑" w:hAnsi="微软雅黑" w:eastAsia="微软雅黑" w:cs="Helvetica"/>
          <w:kern w:val="0"/>
          <w:sz w:val="23"/>
          <w:szCs w:val="23"/>
        </w:rPr>
      </w:pPr>
      <w:r>
        <w:rPr>
          <w:rFonts w:hint="eastAsia" w:ascii="黑体" w:hAnsi="黑体" w:eastAsia="黑体" w:cs="Helvetica"/>
          <w:kern w:val="0"/>
          <w:sz w:val="32"/>
          <w:szCs w:val="32"/>
        </w:rPr>
        <w:t>五、政府信息公开工作存在的问题及改进情况</w:t>
      </w:r>
    </w:p>
    <w:p>
      <w:pPr>
        <w:widowControl/>
        <w:shd w:val="clear"/>
        <w:spacing w:line="360" w:lineRule="auto"/>
        <w:ind w:left="0" w:leftChars="0" w:right="0" w:rightChars="0" w:firstLine="640" w:firstLineChars="200"/>
        <w:jc w:val="left"/>
        <w:rPr>
          <w:rFonts w:ascii="微软雅黑" w:hAnsi="微软雅黑" w:eastAsia="微软雅黑" w:cs="Helvetica"/>
          <w:kern w:val="0"/>
          <w:sz w:val="23"/>
          <w:szCs w:val="23"/>
        </w:rPr>
      </w:pPr>
      <w:r>
        <w:rPr>
          <w:rFonts w:hint="eastAsia" w:ascii="仿宋_GB2312" w:hAnsi="宋体" w:eastAsia="仿宋_GB2312" w:cs="Helvetica"/>
          <w:kern w:val="0"/>
          <w:sz w:val="32"/>
          <w:szCs w:val="32"/>
        </w:rPr>
        <w:t>我局政府信息公开工作虽然取得了一定成效，对照《条例》要求还存在一定差距，一是部分信息更新不及时；二是政策解读、数据解读形式还有待进一步丰富；三是经办科室信息公开业务水平还有待提高。下一步，我们将采取切实有效的措施加以整改。一是进一步强化主动公开意识。严格贯彻落实政务信息公开法规规章，推进重大决策公开、政策执行公开；二是加强政策解读，运用图解、动画视频多元化方式解读，在发文过程中同步对解读材料进行审核，确保重要政策文件配套解读材料；三是强化业务指导，通过培训等方式提高全市商务系统公开意识和工作能力。</w:t>
      </w:r>
    </w:p>
    <w:p>
      <w:pPr>
        <w:shd w:val="clear"/>
        <w:spacing w:line="360" w:lineRule="auto"/>
        <w:ind w:left="0" w:leftChars="0" w:right="0" w:rightChars="0"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六、其他需要报告的事项</w:t>
      </w:r>
    </w:p>
    <w:p>
      <w:pPr>
        <w:shd w:val="clear"/>
        <w:spacing w:line="360" w:lineRule="auto"/>
        <w:ind w:left="0" w:leftChars="0" w:right="0" w:rightChars="0" w:firstLine="640" w:firstLineChars="200"/>
        <w:rPr>
          <w:rFonts w:hint="eastAsia" w:ascii="仿宋_GB2312" w:hAnsi="Calibri" w:eastAsia="仿宋_GB2312" w:cs="Times New Roman"/>
          <w:sz w:val="36"/>
          <w:szCs w:val="32"/>
        </w:rPr>
      </w:pPr>
      <w:r>
        <w:rPr>
          <w:rFonts w:hint="eastAsia"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年，我局认真做好市人大建议、市政协提案办理工作，全年共办理人大代表建议</w:t>
      </w:r>
      <w:r>
        <w:rPr>
          <w:rFonts w:hint="eastAsia" w:ascii="仿宋_GB2312" w:hAnsi="Calibri" w:eastAsia="仿宋_GB2312" w:cs="Times New Roman"/>
          <w:sz w:val="32"/>
          <w:szCs w:val="32"/>
          <w:lang w:val="en-US" w:eastAsia="zh-CN"/>
        </w:rPr>
        <w:t>5</w:t>
      </w:r>
      <w:r>
        <w:rPr>
          <w:rFonts w:hint="eastAsia" w:ascii="仿宋_GB2312" w:hAnsi="Calibri" w:eastAsia="仿宋_GB2312" w:cs="Times New Roman"/>
          <w:sz w:val="32"/>
          <w:szCs w:val="32"/>
        </w:rPr>
        <w:t>件、政协提案</w:t>
      </w:r>
      <w:r>
        <w:rPr>
          <w:rFonts w:hint="eastAsia" w:ascii="仿宋_GB2312" w:hAnsi="Calibri" w:eastAsia="仿宋_GB2312" w:cs="Times New Roman"/>
          <w:sz w:val="32"/>
          <w:szCs w:val="32"/>
          <w:lang w:val="en-US" w:eastAsia="zh-CN"/>
        </w:rPr>
        <w:t>15</w:t>
      </w:r>
      <w:r>
        <w:rPr>
          <w:rFonts w:hint="eastAsia" w:ascii="仿宋_GB2312" w:hAnsi="Calibri" w:eastAsia="仿宋_GB2312" w:cs="Times New Roman"/>
          <w:sz w:val="32"/>
          <w:szCs w:val="32"/>
        </w:rPr>
        <w:t>件，全部按要求及时办结，满意率100%。</w:t>
      </w:r>
      <w:bookmarkStart w:id="0" w:name="_GoBack"/>
      <w:bookmarkEnd w:id="0"/>
    </w:p>
    <w:p>
      <w:pPr>
        <w:shd w:val="clear"/>
        <w:spacing w:line="360" w:lineRule="auto"/>
        <w:ind w:left="0" w:leftChars="0" w:right="0" w:rightChars="0"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                  </w:t>
      </w:r>
    </w:p>
    <w:p>
      <w:pPr>
        <w:shd w:val="clear"/>
        <w:spacing w:line="360" w:lineRule="auto"/>
        <w:ind w:left="0" w:leftChars="0" w:right="0" w:rightChars="0"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                                  </w:t>
      </w:r>
    </w:p>
    <w:p>
      <w:pPr>
        <w:shd w:val="clear"/>
        <w:wordWrap w:val="0"/>
        <w:spacing w:line="360" w:lineRule="auto"/>
        <w:ind w:left="0" w:leftChars="0" w:right="0" w:rightChars="0" w:firstLine="640" w:firstLineChars="200"/>
        <w:jc w:val="right"/>
      </w:pPr>
      <w:r>
        <w:rPr>
          <w:rFonts w:hint="eastAsia" w:ascii="仿宋_GB2312" w:eastAsia="仿宋_GB2312"/>
          <w:sz w:val="32"/>
          <w:szCs w:val="32"/>
        </w:rPr>
        <w:t xml:space="preserve"> </w:t>
      </w:r>
      <w:r>
        <w:rPr>
          <w:rFonts w:hint="eastAsia"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年1月</w:t>
      </w:r>
      <w:r>
        <w:rPr>
          <w:rFonts w:hint="eastAsia" w:ascii="仿宋_GB2312" w:hAnsi="Calibri" w:eastAsia="仿宋_GB2312" w:cs="Times New Roman"/>
          <w:sz w:val="32"/>
          <w:szCs w:val="32"/>
          <w:lang w:val="en-US" w:eastAsia="zh-CN"/>
        </w:rPr>
        <w:t>26</w:t>
      </w:r>
      <w:r>
        <w:rPr>
          <w:rFonts w:hint="eastAsia" w:ascii="仿宋_GB2312" w:hAnsi="Calibri" w:eastAsia="仿宋_GB2312" w:cs="Times New Roman"/>
          <w:sz w:val="32"/>
          <w:szCs w:val="32"/>
        </w:rPr>
        <w:t>日</w:t>
      </w:r>
      <w:r>
        <w:rPr>
          <w:rFonts w:hint="eastAsia" w:ascii="仿宋_GB2312" w:eastAsia="仿宋_GB2312"/>
          <w:sz w:val="32"/>
          <w:szCs w:val="32"/>
        </w:rPr>
        <w:t xml:space="preserve">      </w:t>
      </w:r>
    </w:p>
    <w:sectPr>
      <w:headerReference r:id="rId6" w:type="first"/>
      <w:footerReference r:id="rId9" w:type="first"/>
      <w:footerReference r:id="rId7" w:type="default"/>
      <w:headerReference r:id="rId5" w:type="even"/>
      <w:footerReference r:id="rId8"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210" w:right="210"/>
      </w:pPr>
      <w:r>
        <w:separator/>
      </w:r>
    </w:p>
  </w:endnote>
  <w:endnote w:type="continuationSeparator" w:id="1">
    <w:p>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righ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righ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210" w:right="210"/>
      </w:pPr>
      <w:r>
        <w:separator/>
      </w:r>
    </w:p>
  </w:footnote>
  <w:footnote w:type="continuationSeparator" w:id="1">
    <w:p>
      <w:pPr>
        <w:ind w:left="210" w:righ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righ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right="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00B2"/>
    <w:rsid w:val="000B7BD7"/>
    <w:rsid w:val="001171BB"/>
    <w:rsid w:val="0051665C"/>
    <w:rsid w:val="00614ECB"/>
    <w:rsid w:val="006E02CF"/>
    <w:rsid w:val="00A25663"/>
    <w:rsid w:val="00A66175"/>
    <w:rsid w:val="00B9533B"/>
    <w:rsid w:val="00CB569E"/>
    <w:rsid w:val="00DB72E2"/>
    <w:rsid w:val="00E63F85"/>
    <w:rsid w:val="00F400B2"/>
    <w:rsid w:val="13EED60B"/>
    <w:rsid w:val="2E3D2CF3"/>
    <w:rsid w:val="2F7E8049"/>
    <w:rsid w:val="3BEBD235"/>
    <w:rsid w:val="3D4F2523"/>
    <w:rsid w:val="3FFFC9A2"/>
    <w:rsid w:val="5CFF6ECD"/>
    <w:rsid w:val="5F7A58B4"/>
    <w:rsid w:val="6B73495B"/>
    <w:rsid w:val="6EBDEADB"/>
    <w:rsid w:val="6FB5C513"/>
    <w:rsid w:val="6FFD32EC"/>
    <w:rsid w:val="7BFC67C7"/>
    <w:rsid w:val="7EAF56C3"/>
    <w:rsid w:val="7EEF1688"/>
    <w:rsid w:val="7FFABAD5"/>
    <w:rsid w:val="BF4B84E0"/>
    <w:rsid w:val="BFF3A52D"/>
    <w:rsid w:val="CF7D2D58"/>
    <w:rsid w:val="EBF4D55B"/>
    <w:rsid w:val="EEBF9EE8"/>
    <w:rsid w:val="EFDE0C2B"/>
    <w:rsid w:val="EFFD6EC2"/>
    <w:rsid w:val="F9EF6320"/>
    <w:rsid w:val="FB6F47F5"/>
    <w:rsid w:val="FD5C38F7"/>
    <w:rsid w:val="FF3FD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00" w:leftChars="100" w:right="100" w:rightChars="1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7">
    <w:name w:val="western"/>
    <w:basedOn w:val="1"/>
    <w:qFormat/>
    <w:uiPriority w:val="0"/>
    <w:pPr>
      <w:widowControl/>
      <w:spacing w:before="100" w:beforeAutospacing="1" w:after="100" w:afterAutospacing="1"/>
      <w:ind w:left="0" w:leftChars="0" w:right="0" w:rightChars="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365</Words>
  <Characters>2082</Characters>
  <Lines>17</Lines>
  <Paragraphs>4</Paragraphs>
  <TotalTime>23</TotalTime>
  <ScaleCrop>false</ScaleCrop>
  <LinksUpToDate>false</LinksUpToDate>
  <CharactersWithSpaces>2443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2021-04-01T10:43:00Z</dcterms:created>
  <dc:creator>Administrator</dc:creator>
  <cp:lastModifiedBy>sugon</cp:lastModifiedBy>
  <dcterms:modified xsi:type="dcterms:W3CDTF">2022-01-26T19:31:14Z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