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AB1" w14:textId="77777777" w:rsidR="00DE40AC" w:rsidRDefault="00622AC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安阳市水利局</w:t>
      </w:r>
    </w:p>
    <w:p w14:paraId="7386BB49" w14:textId="77777777" w:rsidR="00DE40AC" w:rsidRDefault="00622AC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关于《安阳市“十四五”水安全保障和水生态环境保护规划</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的起草说明</w:t>
      </w:r>
    </w:p>
    <w:p w14:paraId="12CBC833" w14:textId="77777777" w:rsidR="00DE40AC" w:rsidRDefault="00DE40AC">
      <w:pPr>
        <w:spacing w:line="620" w:lineRule="exact"/>
        <w:jc w:val="center"/>
        <w:rPr>
          <w:rFonts w:ascii="楷体" w:eastAsia="楷体" w:hAnsi="楷体" w:cs="楷体"/>
          <w:sz w:val="32"/>
          <w:szCs w:val="32"/>
        </w:rPr>
      </w:pPr>
    </w:p>
    <w:p w14:paraId="2ECBF690"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现就《安阳市“十四五”水安全保障和水生态环境保护规划》（以下简称《规划》）的起草情况说明如下：</w:t>
      </w:r>
    </w:p>
    <w:p w14:paraId="61BEC854" w14:textId="77777777" w:rsidR="00DE40AC" w:rsidRDefault="00622AC5">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一、编制依据和背景</w:t>
      </w:r>
    </w:p>
    <w:p w14:paraId="6F182C6F" w14:textId="340A25D4" w:rsidR="00DE40AC" w:rsidRDefault="00622AC5">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hint="eastAsia"/>
          <w:color w:val="333333"/>
          <w:sz w:val="32"/>
          <w:szCs w:val="32"/>
          <w:shd w:val="clear" w:color="auto" w:fill="FFFFFF"/>
        </w:rPr>
        <w:t>月，按照市委、市政府《关于印发</w:t>
      </w:r>
      <w:r w:rsidR="00DF4628">
        <w:rPr>
          <w:rFonts w:ascii="仿宋_GB2312" w:eastAsia="仿宋_GB2312" w:hAnsi="仿宋_GB2312" w:cs="仿宋_GB2312" w:hint="eastAsia"/>
          <w:color w:val="333333"/>
          <w:sz w:val="32"/>
          <w:szCs w:val="32"/>
          <w:shd w:val="clear" w:color="auto" w:fill="FFFFFF"/>
        </w:rPr>
        <w:t>&lt;</w:t>
      </w:r>
      <w:r>
        <w:rPr>
          <w:rFonts w:ascii="仿宋_GB2312" w:eastAsia="仿宋_GB2312" w:hAnsi="仿宋_GB2312" w:cs="仿宋_GB2312" w:hint="eastAsia"/>
          <w:color w:val="333333"/>
          <w:sz w:val="32"/>
          <w:szCs w:val="32"/>
          <w:shd w:val="clear" w:color="auto" w:fill="FFFFFF"/>
        </w:rPr>
        <w:t>安阳市“十四五”专项规划目录清单</w:t>
      </w:r>
      <w:r w:rsidR="00DF4628">
        <w:rPr>
          <w:rFonts w:ascii="仿宋_GB2312" w:eastAsia="仿宋_GB2312" w:hAnsi="仿宋_GB2312" w:cs="仿宋_GB2312" w:hint="eastAsia"/>
          <w:color w:val="333333"/>
          <w:sz w:val="32"/>
          <w:szCs w:val="32"/>
          <w:shd w:val="clear" w:color="auto" w:fill="FFFFFF"/>
        </w:rPr>
        <w:t>&gt;</w:t>
      </w:r>
      <w:r>
        <w:rPr>
          <w:rFonts w:ascii="仿宋_GB2312" w:eastAsia="仿宋_GB2312" w:hAnsi="仿宋_GB2312" w:cs="仿宋_GB2312" w:hint="eastAsia"/>
          <w:color w:val="333333"/>
          <w:sz w:val="32"/>
          <w:szCs w:val="32"/>
          <w:shd w:val="clear" w:color="auto" w:fill="FFFFFF"/>
        </w:rPr>
        <w:t>的通知》（安办发电〔</w:t>
      </w: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号）</w:t>
      </w:r>
      <w:r>
        <w:rPr>
          <w:rFonts w:ascii="仿宋_GB2312" w:eastAsia="仿宋_GB2312" w:hAnsi="仿宋_GB2312" w:cs="仿宋_GB2312" w:hint="eastAsia"/>
          <w:color w:val="333333"/>
          <w:sz w:val="32"/>
          <w:szCs w:val="32"/>
          <w:shd w:val="clear" w:color="auto" w:fill="FFFFFF"/>
        </w:rPr>
        <w:t>要求，我局牵头编制的《安阳市“十四五”水安全保障规划》与市生态环境局牵头编制的《安阳市“十四五”水生态环境保护规划》合并为《安阳市“十四五”水安全保障和水生态环境保护规划》，责任单位为市水利局。</w:t>
      </w:r>
    </w:p>
    <w:p w14:paraId="0D6D8A13" w14:textId="77777777" w:rsidR="00DE40AC" w:rsidRDefault="00622AC5">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月，省政府以豫政〔</w:t>
      </w: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42</w:t>
      </w:r>
      <w:r>
        <w:rPr>
          <w:rFonts w:ascii="仿宋_GB2312" w:eastAsia="仿宋_GB2312" w:hAnsi="仿宋_GB2312" w:cs="仿宋_GB2312" w:hint="eastAsia"/>
          <w:color w:val="333333"/>
          <w:sz w:val="32"/>
          <w:szCs w:val="32"/>
          <w:shd w:val="clear" w:color="auto" w:fill="FFFFFF"/>
        </w:rPr>
        <w:t>号印发《河南省“十四五”水安全保障和水生态环境保护规划》。</w:t>
      </w:r>
    </w:p>
    <w:p w14:paraId="3E56B62C" w14:textId="77777777" w:rsidR="00DE40AC" w:rsidRDefault="00622AC5">
      <w:pPr>
        <w:spacing w:line="560" w:lineRule="exact"/>
        <w:ind w:firstLineChars="200" w:firstLine="720"/>
        <w:jc w:val="left"/>
        <w:rPr>
          <w:rFonts w:ascii="黑体" w:eastAsia="黑体" w:hAnsi="黑体" w:cs="黑体"/>
          <w:sz w:val="32"/>
          <w:szCs w:val="32"/>
        </w:rPr>
      </w:pPr>
      <w:r>
        <w:rPr>
          <w:rFonts w:ascii="黑体" w:eastAsia="黑体" w:hAnsi="黑体" w:cs="黑体" w:hint="eastAsia"/>
          <w:sz w:val="36"/>
          <w:szCs w:val="36"/>
        </w:rPr>
        <w:t>二、</w:t>
      </w:r>
      <w:r>
        <w:rPr>
          <w:rFonts w:ascii="黑体" w:eastAsia="黑体" w:hAnsi="黑体" w:cs="黑体" w:hint="eastAsia"/>
          <w:sz w:val="32"/>
          <w:szCs w:val="32"/>
        </w:rPr>
        <w:t>主要内容</w:t>
      </w:r>
    </w:p>
    <w:p w14:paraId="1F978376"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安阳市《规划》与河南省《规划》总体框架保持一致，分为现状与形势、总体思路、水安全保障、水生态环境保护、重点领域改革、水治理能力提升、保障措施七个章节。</w:t>
      </w:r>
    </w:p>
    <w:p w14:paraId="129B18AB"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第一章</w:t>
      </w:r>
      <w:r>
        <w:rPr>
          <w:rFonts w:ascii="楷体" w:eastAsia="楷体" w:hAnsi="楷体" w:cs="楷体" w:hint="eastAsia"/>
          <w:sz w:val="32"/>
          <w:szCs w:val="32"/>
        </w:rPr>
        <w:t xml:space="preserve"> </w:t>
      </w:r>
      <w:r>
        <w:rPr>
          <w:rFonts w:ascii="楷体" w:eastAsia="楷体" w:hAnsi="楷体" w:cs="楷体" w:hint="eastAsia"/>
          <w:sz w:val="32"/>
          <w:szCs w:val="32"/>
        </w:rPr>
        <w:t>现状与形势。</w:t>
      </w:r>
      <w:r>
        <w:rPr>
          <w:rFonts w:ascii="仿宋_GB2312" w:eastAsia="仿宋_GB2312" w:hAnsi="仿宋_GB2312" w:cs="仿宋_GB2312" w:hint="eastAsia"/>
          <w:sz w:val="32"/>
          <w:szCs w:val="32"/>
        </w:rPr>
        <w:t>全面总结“十三五”成就，论述面临的形式，分析存在的挑战和压力。</w:t>
      </w:r>
    </w:p>
    <w:p w14:paraId="630E0095"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第二章</w:t>
      </w:r>
      <w:r>
        <w:rPr>
          <w:rFonts w:ascii="楷体" w:eastAsia="楷体" w:hAnsi="楷体" w:cs="楷体" w:hint="eastAsia"/>
          <w:sz w:val="32"/>
          <w:szCs w:val="32"/>
        </w:rPr>
        <w:t xml:space="preserve"> </w:t>
      </w:r>
      <w:r>
        <w:rPr>
          <w:rFonts w:ascii="楷体" w:eastAsia="楷体" w:hAnsi="楷体" w:cs="楷体" w:hint="eastAsia"/>
          <w:sz w:val="32"/>
          <w:szCs w:val="32"/>
        </w:rPr>
        <w:t>总体思路。</w:t>
      </w:r>
      <w:r>
        <w:rPr>
          <w:rFonts w:ascii="仿宋_GB2312" w:eastAsia="仿宋_GB2312" w:hAnsi="仿宋_GB2312" w:cs="仿宋_GB2312" w:hint="eastAsia"/>
          <w:sz w:val="32"/>
          <w:szCs w:val="32"/>
        </w:rPr>
        <w:t>从指导思想、基本原则、规划目标、总体布局四个方面进行了阐述。</w:t>
      </w:r>
    </w:p>
    <w:p w14:paraId="2B393144"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指导思想。高举习近平新时代中国特色社会主义思想伟</w:t>
      </w:r>
      <w:r>
        <w:rPr>
          <w:rFonts w:ascii="仿宋_GB2312" w:eastAsia="仿宋_GB2312" w:hAnsi="仿宋_GB2312" w:cs="仿宋_GB2312" w:hint="eastAsia"/>
          <w:sz w:val="32"/>
          <w:szCs w:val="32"/>
        </w:rPr>
        <w:lastRenderedPageBreak/>
        <w:t>大旗帜，积极</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习近平总书记治水兴</w:t>
      </w:r>
      <w:proofErr w:type="gramStart"/>
      <w:r>
        <w:rPr>
          <w:rFonts w:ascii="仿宋_GB2312" w:eastAsia="仿宋_GB2312" w:hAnsi="仿宋_GB2312" w:cs="仿宋_GB2312" w:hint="eastAsia"/>
          <w:sz w:val="32"/>
          <w:szCs w:val="32"/>
        </w:rPr>
        <w:t>水重要</w:t>
      </w:r>
      <w:proofErr w:type="gramEnd"/>
      <w:r>
        <w:rPr>
          <w:rFonts w:ascii="仿宋_GB2312" w:eastAsia="仿宋_GB2312" w:hAnsi="仿宋_GB2312" w:cs="仿宋_GB2312" w:hint="eastAsia"/>
          <w:sz w:val="32"/>
          <w:szCs w:val="32"/>
        </w:rPr>
        <w:t>论述，站位新发展阶段，贯彻新发展理念，服务新发展格局，紧抓治水主要矛盾，统筹发展和安全，把水安全风险防控</w:t>
      </w:r>
      <w:r>
        <w:rPr>
          <w:rFonts w:ascii="仿宋_GB2312" w:eastAsia="仿宋_GB2312" w:hAnsi="仿宋_GB2312" w:cs="仿宋_GB2312" w:hint="eastAsia"/>
          <w:sz w:val="32"/>
          <w:szCs w:val="32"/>
        </w:rPr>
        <w:t>作为底线，把水资源的刚性约束作为上线，把水生态环境保护作为控制红线，完善水安全保障和水生态环境治理体系，着力构建兴利除害的现代水网体系；牢固树立绿色发展理念，以改善水生态环境质量为核心，污染减排与生态扩容“两手发力”，深入打好水污染防治攻坚战，为建成新时代区域中心强市、全面建设社会主义现代化活力古都出彩安阳提供有力的水安全和水生态环境支撑与保障。</w:t>
      </w:r>
    </w:p>
    <w:p w14:paraId="4C23CF13"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基本原则。坚持以人为本，造福人民；坚持节水优先，量水而行；坚持生态优先，绿色发展；坚持风险防控，保障安全；坚持统筹兼顾，综合施策；坚持改革创新，协同推进。</w:t>
      </w:r>
    </w:p>
    <w:p w14:paraId="14CBEFC9"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划目标。水旱灾害防御能力进一步增强，节水型生产和生活方式基本形成，水资源配置格局进一步优化，重点河流水生态环境明显改善，兴利除害现代水网框架初步建成，水安全保障能力明显提升，水生态环境保护能力持续增强。其中，水安全保障规划指标</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项，水生态环境保护规划指标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项，规划指标总体上与河南省规划指标持平，个别指标高于省规划指标。同时，展望</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年目标。</w:t>
      </w:r>
    </w:p>
    <w:p w14:paraId="6EBAAA5D" w14:textId="77777777" w:rsidR="00DE40AC" w:rsidRDefault="00622AC5">
      <w:pPr>
        <w:pStyle w:val="a3"/>
        <w:ind w:firstLine="640"/>
        <w:rPr>
          <w:rFonts w:ascii="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总体布局。水安全保障：以自然水系为基础、</w:t>
      </w:r>
      <w:proofErr w:type="gramStart"/>
      <w:r>
        <w:rPr>
          <w:rFonts w:ascii="仿宋_GB2312" w:eastAsia="仿宋_GB2312" w:hAnsi="仿宋_GB2312" w:cs="仿宋_GB2312" w:hint="eastAsia"/>
        </w:rPr>
        <w:t>引调水工</w:t>
      </w:r>
      <w:proofErr w:type="gramEnd"/>
      <w:r>
        <w:rPr>
          <w:rFonts w:ascii="仿宋_GB2312" w:eastAsia="仿宋_GB2312" w:hAnsi="仿宋_GB2312" w:cs="仿宋_GB2312" w:hint="eastAsia"/>
        </w:rPr>
        <w:t>程为通道，水利枢纽和调蓄工程为节点，构建全市“四横六纵”兴利除害现代生态水网，全面提升水安全保障能力。水</w:t>
      </w:r>
      <w:r>
        <w:rPr>
          <w:rFonts w:ascii="仿宋_GB2312" w:eastAsia="仿宋_GB2312" w:hAnsi="仿宋_GB2312" w:cs="仿宋_GB2312" w:hint="eastAsia"/>
        </w:rPr>
        <w:t>生态环境保护：按照“两域七河四库</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干渠”的水生态环境保护空间布局，持续改善水生态环境质量，不断提升城乡人居环境。</w:t>
      </w:r>
    </w:p>
    <w:p w14:paraId="0A26A268"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第三章</w:t>
      </w:r>
      <w:r>
        <w:rPr>
          <w:rFonts w:ascii="楷体" w:eastAsia="楷体" w:hAnsi="楷体" w:cs="楷体" w:hint="eastAsia"/>
          <w:sz w:val="32"/>
          <w:szCs w:val="32"/>
        </w:rPr>
        <w:t xml:space="preserve"> </w:t>
      </w:r>
      <w:r>
        <w:rPr>
          <w:rFonts w:ascii="楷体" w:eastAsia="楷体" w:hAnsi="楷体" w:cs="楷体" w:hint="eastAsia"/>
          <w:sz w:val="32"/>
          <w:szCs w:val="32"/>
        </w:rPr>
        <w:t>水安全保障。</w:t>
      </w:r>
      <w:r>
        <w:rPr>
          <w:rFonts w:ascii="仿宋_GB2312" w:eastAsia="仿宋_GB2312" w:hAnsi="仿宋_GB2312" w:cs="仿宋_GB2312" w:hint="eastAsia"/>
          <w:sz w:val="32"/>
          <w:szCs w:val="32"/>
        </w:rPr>
        <w:t>主要从防洪安全保障、供水安全保障、乡村振兴水利保障、水土保持和地下水压采、智慧水利建设等五个方面进行了重点谋划</w:t>
      </w:r>
      <w:r>
        <w:rPr>
          <w:rFonts w:ascii="仿宋_GB2312" w:eastAsia="仿宋_GB2312" w:hAnsi="仿宋_GB2312" w:cs="仿宋_GB2312" w:hint="eastAsia"/>
          <w:sz w:val="32"/>
          <w:szCs w:val="32"/>
        </w:rPr>
        <w:t>。</w:t>
      </w:r>
    </w:p>
    <w:p w14:paraId="0731238F"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防洪安全保障</w:t>
      </w:r>
      <w:r>
        <w:rPr>
          <w:rFonts w:ascii="仿宋_GB2312" w:eastAsia="仿宋_GB2312" w:hAnsi="仿宋_GB2312" w:cs="仿宋_GB2312" w:hint="eastAsia"/>
          <w:sz w:val="32"/>
          <w:szCs w:val="32"/>
        </w:rPr>
        <w:t>谋划的项目主要有：</w:t>
      </w:r>
      <w:proofErr w:type="gramStart"/>
      <w:r>
        <w:rPr>
          <w:rFonts w:ascii="仿宋_GB2312" w:eastAsia="仿宋_GB2312" w:hAnsi="仿宋_GB2312" w:cs="仿宋_GB2312" w:hint="eastAsia"/>
          <w:sz w:val="32"/>
          <w:szCs w:val="32"/>
        </w:rPr>
        <w:t>洹</w:t>
      </w:r>
      <w:proofErr w:type="gramEnd"/>
      <w:r>
        <w:rPr>
          <w:rFonts w:ascii="仿宋_GB2312" w:eastAsia="仿宋_GB2312" w:hAnsi="仿宋_GB2312" w:cs="仿宋_GB2312" w:hint="eastAsia"/>
          <w:sz w:val="32"/>
          <w:szCs w:val="32"/>
        </w:rPr>
        <w:t>河、洪河、羑河等河道治理工程，广润坡、长虹渠、</w:t>
      </w:r>
      <w:proofErr w:type="gramStart"/>
      <w:r>
        <w:rPr>
          <w:rFonts w:ascii="仿宋_GB2312" w:eastAsia="仿宋_GB2312" w:hAnsi="仿宋_GB2312" w:cs="仿宋_GB2312" w:hint="eastAsia"/>
          <w:sz w:val="32"/>
          <w:szCs w:val="32"/>
        </w:rPr>
        <w:t>白寺坡蓄</w:t>
      </w:r>
      <w:proofErr w:type="gramEnd"/>
      <w:r>
        <w:rPr>
          <w:rFonts w:ascii="仿宋_GB2312" w:eastAsia="仿宋_GB2312" w:hAnsi="仿宋_GB2312" w:cs="仿宋_GB2312" w:hint="eastAsia"/>
          <w:sz w:val="32"/>
          <w:szCs w:val="32"/>
        </w:rPr>
        <w:t>滞洪区建设工程，</w:t>
      </w:r>
      <w:proofErr w:type="gramStart"/>
      <w:r>
        <w:rPr>
          <w:rFonts w:ascii="仿宋_GB2312" w:eastAsia="仿宋_GB2312" w:hAnsi="仿宋_GB2312" w:cs="仿宋_GB2312" w:hint="eastAsia"/>
          <w:sz w:val="32"/>
          <w:szCs w:val="32"/>
        </w:rPr>
        <w:t>郭</w:t>
      </w:r>
      <w:proofErr w:type="gramEnd"/>
      <w:r>
        <w:rPr>
          <w:rFonts w:ascii="仿宋_GB2312" w:eastAsia="仿宋_GB2312" w:hAnsi="仿宋_GB2312" w:cs="仿宋_GB2312" w:hint="eastAsia"/>
          <w:sz w:val="32"/>
          <w:szCs w:val="32"/>
        </w:rPr>
        <w:t>盆闸、</w:t>
      </w:r>
      <w:proofErr w:type="gramStart"/>
      <w:r>
        <w:rPr>
          <w:rFonts w:ascii="仿宋_GB2312" w:eastAsia="仿宋_GB2312" w:hAnsi="仿宋_GB2312" w:cs="仿宋_GB2312" w:hint="eastAsia"/>
          <w:sz w:val="32"/>
          <w:szCs w:val="32"/>
        </w:rPr>
        <w:t>豆公闸</w:t>
      </w:r>
      <w:proofErr w:type="gramEnd"/>
      <w:r>
        <w:rPr>
          <w:rFonts w:ascii="仿宋_GB2312" w:eastAsia="仿宋_GB2312" w:hAnsi="仿宋_GB2312" w:cs="仿宋_GB2312" w:hint="eastAsia"/>
          <w:sz w:val="32"/>
          <w:szCs w:val="32"/>
        </w:rPr>
        <w:t>、菜园闸、周流闸、刘庄</w:t>
      </w:r>
      <w:proofErr w:type="gramStart"/>
      <w:r>
        <w:rPr>
          <w:rFonts w:ascii="仿宋_GB2312" w:eastAsia="仿宋_GB2312" w:hAnsi="仿宋_GB2312" w:cs="仿宋_GB2312" w:hint="eastAsia"/>
          <w:sz w:val="32"/>
          <w:szCs w:val="32"/>
        </w:rPr>
        <w:t>闸</w:t>
      </w:r>
      <w:proofErr w:type="gramEnd"/>
      <w:r>
        <w:rPr>
          <w:rFonts w:ascii="仿宋_GB2312" w:eastAsia="仿宋_GB2312" w:hAnsi="仿宋_GB2312" w:cs="仿宋_GB2312" w:hint="eastAsia"/>
          <w:sz w:val="32"/>
          <w:szCs w:val="32"/>
        </w:rPr>
        <w:t>除险加固工程，安阳桥改建、</w:t>
      </w:r>
      <w:proofErr w:type="gramStart"/>
      <w:r>
        <w:rPr>
          <w:rFonts w:ascii="仿宋_GB2312" w:eastAsia="仿宋_GB2312" w:hAnsi="仿宋_GB2312" w:cs="仿宋_GB2312" w:hint="eastAsia"/>
          <w:sz w:val="32"/>
          <w:szCs w:val="32"/>
        </w:rPr>
        <w:t>洹</w:t>
      </w:r>
      <w:proofErr w:type="gramEnd"/>
      <w:r>
        <w:rPr>
          <w:rFonts w:ascii="仿宋_GB2312" w:eastAsia="仿宋_GB2312" w:hAnsi="仿宋_GB2312" w:cs="仿宋_GB2312" w:hint="eastAsia"/>
          <w:sz w:val="32"/>
          <w:szCs w:val="32"/>
        </w:rPr>
        <w:t>河分洪道、西区截流渠、茶店河等城市防洪排涝工程。</w:t>
      </w:r>
    </w:p>
    <w:p w14:paraId="032DEC23"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供水安全保障</w:t>
      </w:r>
      <w:r>
        <w:rPr>
          <w:rFonts w:ascii="仿宋_GB2312" w:eastAsia="仿宋_GB2312" w:hAnsi="仿宋_GB2312" w:cs="仿宋_GB2312" w:hint="eastAsia"/>
          <w:sz w:val="32"/>
          <w:szCs w:val="32"/>
        </w:rPr>
        <w:t>谋划的项目主要有：南水北调</w:t>
      </w:r>
      <w:r>
        <w:rPr>
          <w:rFonts w:ascii="仿宋_GB2312" w:eastAsia="仿宋_GB2312" w:hAnsi="仿宋_GB2312" w:cs="仿宋_GB2312" w:hint="eastAsia"/>
          <w:sz w:val="32"/>
          <w:szCs w:val="32"/>
        </w:rPr>
        <w:t>安阳市西部调</w:t>
      </w:r>
      <w:r>
        <w:rPr>
          <w:rFonts w:ascii="仿宋_GB2312" w:eastAsia="仿宋_GB2312" w:hAnsi="仿宋_GB2312" w:cs="仿宋_GB2312" w:hint="eastAsia"/>
          <w:sz w:val="32"/>
          <w:szCs w:val="32"/>
        </w:rPr>
        <w:t>水工程，彰武、双泉水库扩容工程，安阳市城乡一体化供水工程。</w:t>
      </w:r>
    </w:p>
    <w:p w14:paraId="13C89D43"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乡村振兴水利保障谋划的项目主要有：林州市红旗渠、滑县大功、渠村灌区等大型灌区续建配套与现代化改造，汤阴县瓦岗灌区续建配套与节水改造，林州市、汤阴县农村水系连通及水美乡村建设等。</w:t>
      </w:r>
    </w:p>
    <w:p w14:paraId="1245BCB5"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水土保持和地下水压采谋划的项目主要有：水土保持生态建设，</w:t>
      </w:r>
      <w:proofErr w:type="gramStart"/>
      <w:r>
        <w:rPr>
          <w:rFonts w:ascii="仿宋_GB2312" w:eastAsia="仿宋_GB2312" w:hAnsi="仿宋_GB2312" w:cs="仿宋_GB2312" w:hint="eastAsia"/>
          <w:sz w:val="32"/>
          <w:szCs w:val="32"/>
        </w:rPr>
        <w:t>洹</w:t>
      </w:r>
      <w:proofErr w:type="gramEnd"/>
      <w:r>
        <w:rPr>
          <w:rFonts w:ascii="仿宋_GB2312" w:eastAsia="仿宋_GB2312" w:hAnsi="仿宋_GB2312" w:cs="仿宋_GB2312" w:hint="eastAsia"/>
          <w:sz w:val="32"/>
          <w:szCs w:val="32"/>
        </w:rPr>
        <w:t>河、洪河生态蓄水工程。</w:t>
      </w:r>
    </w:p>
    <w:p w14:paraId="18651A10"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、智慧水利建设谋划的项目为安阳市防汛抗旱检测预警平台及洪水预报调度系统建设。</w:t>
      </w:r>
    </w:p>
    <w:p w14:paraId="79A59507"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第四章</w:t>
      </w:r>
      <w:r>
        <w:rPr>
          <w:rFonts w:ascii="楷体" w:eastAsia="楷体" w:hAnsi="楷体" w:cs="楷体" w:hint="eastAsia"/>
          <w:sz w:val="32"/>
          <w:szCs w:val="32"/>
        </w:rPr>
        <w:t xml:space="preserve"> </w:t>
      </w:r>
      <w:r>
        <w:rPr>
          <w:rFonts w:ascii="楷体" w:eastAsia="楷体" w:hAnsi="楷体" w:cs="楷体" w:hint="eastAsia"/>
          <w:sz w:val="32"/>
          <w:szCs w:val="32"/>
        </w:rPr>
        <w:t>水生态环境保护。</w:t>
      </w:r>
      <w:r>
        <w:rPr>
          <w:rFonts w:ascii="仿宋_GB2312" w:eastAsia="仿宋_GB2312" w:hAnsi="仿宋_GB2312" w:cs="仿宋_GB2312" w:hint="eastAsia"/>
          <w:sz w:val="32"/>
          <w:szCs w:val="32"/>
        </w:rPr>
        <w:t>主要从打造良好水生态公共产品、持续深化水污染治理、保障重点河湖生态用</w:t>
      </w:r>
      <w:r>
        <w:rPr>
          <w:rFonts w:ascii="仿宋_GB2312" w:eastAsia="仿宋_GB2312" w:hAnsi="仿宋_GB2312" w:cs="仿宋_GB2312" w:hint="eastAsia"/>
          <w:sz w:val="32"/>
          <w:szCs w:val="32"/>
        </w:rPr>
        <w:t>水、水生态保护修复、突出重点河湖水生态环境保护和治理等五个方面进行了</w:t>
      </w:r>
      <w:r>
        <w:rPr>
          <w:rFonts w:ascii="仿宋_GB2312" w:eastAsia="仿宋_GB2312" w:hAnsi="仿宋_GB2312" w:cs="仿宋_GB2312" w:hint="eastAsia"/>
          <w:sz w:val="32"/>
          <w:szCs w:val="32"/>
        </w:rPr>
        <w:t>重点谋划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谋划的项目主要有：</w:t>
      </w:r>
      <w:proofErr w:type="gramStart"/>
      <w:r>
        <w:rPr>
          <w:rFonts w:ascii="仿宋_GB2312" w:eastAsia="仿宋_GB2312" w:hAnsi="仿宋_GB2312" w:cs="仿宋_GB2312" w:hint="eastAsia"/>
          <w:sz w:val="32"/>
          <w:szCs w:val="32"/>
        </w:rPr>
        <w:t>洹</w:t>
      </w:r>
      <w:proofErr w:type="gramEnd"/>
      <w:r>
        <w:rPr>
          <w:rFonts w:ascii="仿宋_GB2312" w:eastAsia="仿宋_GB2312" w:hAnsi="仿宋_GB2312" w:cs="仿宋_GB2312" w:hint="eastAsia"/>
          <w:sz w:val="32"/>
          <w:szCs w:val="32"/>
        </w:rPr>
        <w:t>河林州段、汤河汤阴县段、洪河龙安区段生态缓冲修复试点，农村污水处理厂建设及配套管网建设，林州市</w:t>
      </w:r>
      <w:proofErr w:type="gramStart"/>
      <w:r>
        <w:rPr>
          <w:rFonts w:ascii="仿宋_GB2312" w:eastAsia="仿宋_GB2312" w:hAnsi="仿宋_GB2312" w:cs="仿宋_GB2312" w:hint="eastAsia"/>
          <w:sz w:val="32"/>
          <w:szCs w:val="32"/>
        </w:rPr>
        <w:t>淇淅</w:t>
      </w:r>
      <w:proofErr w:type="gramEnd"/>
      <w:r>
        <w:rPr>
          <w:rFonts w:ascii="仿宋_GB2312" w:eastAsia="仿宋_GB2312" w:hAnsi="仿宋_GB2312" w:cs="仿宋_GB2312" w:hint="eastAsia"/>
          <w:sz w:val="32"/>
          <w:szCs w:val="32"/>
        </w:rPr>
        <w:t>河、汤阴县汤河国家湿地公园、</w:t>
      </w:r>
      <w:proofErr w:type="gramStart"/>
      <w:r>
        <w:rPr>
          <w:rFonts w:ascii="仿宋_GB2312" w:eastAsia="仿宋_GB2312" w:hAnsi="仿宋_GB2312" w:cs="仿宋_GB2312" w:hint="eastAsia"/>
          <w:sz w:val="32"/>
          <w:szCs w:val="32"/>
        </w:rPr>
        <w:t>内黄县硝河省级湿地公园</w:t>
      </w:r>
      <w:proofErr w:type="gramEnd"/>
      <w:r>
        <w:rPr>
          <w:rFonts w:ascii="仿宋_GB2312" w:eastAsia="仿宋_GB2312" w:hAnsi="仿宋_GB2312" w:cs="仿宋_GB2312" w:hint="eastAsia"/>
          <w:sz w:val="32"/>
          <w:szCs w:val="32"/>
        </w:rPr>
        <w:t>等湿地公园建设。</w:t>
      </w:r>
    </w:p>
    <w:p w14:paraId="605316BE"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第五章</w:t>
      </w:r>
      <w:r>
        <w:rPr>
          <w:rFonts w:ascii="楷体" w:eastAsia="楷体" w:hAnsi="楷体" w:cs="楷体" w:hint="eastAsia"/>
          <w:sz w:val="32"/>
          <w:szCs w:val="32"/>
        </w:rPr>
        <w:t xml:space="preserve"> </w:t>
      </w:r>
      <w:r>
        <w:rPr>
          <w:rFonts w:ascii="楷体" w:eastAsia="楷体" w:hAnsi="楷体" w:cs="楷体" w:hint="eastAsia"/>
          <w:sz w:val="32"/>
          <w:szCs w:val="32"/>
        </w:rPr>
        <w:t>重点领域改革。</w:t>
      </w:r>
      <w:r>
        <w:rPr>
          <w:rFonts w:ascii="仿宋_GB2312" w:eastAsia="仿宋_GB2312" w:hAnsi="仿宋_GB2312" w:cs="仿宋_GB2312" w:hint="eastAsia"/>
          <w:sz w:val="32"/>
          <w:szCs w:val="32"/>
        </w:rPr>
        <w:t>主要从河长制落实、水源改革、水权改革、水利改革、水工改革、水务改革、水生态环境综合管控等七个方面进行了安排部署。</w:t>
      </w:r>
    </w:p>
    <w:p w14:paraId="6E9C51C2"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第六章</w:t>
      </w:r>
      <w:r>
        <w:rPr>
          <w:rFonts w:ascii="楷体" w:eastAsia="楷体" w:hAnsi="楷体" w:cs="楷体" w:hint="eastAsia"/>
          <w:sz w:val="32"/>
          <w:szCs w:val="32"/>
        </w:rPr>
        <w:t xml:space="preserve"> </w:t>
      </w:r>
      <w:r>
        <w:rPr>
          <w:rFonts w:ascii="楷体" w:eastAsia="楷体" w:hAnsi="楷体" w:cs="楷体" w:hint="eastAsia"/>
          <w:sz w:val="32"/>
          <w:szCs w:val="32"/>
        </w:rPr>
        <w:t>水治理能力提升。</w:t>
      </w:r>
      <w:r>
        <w:rPr>
          <w:rFonts w:ascii="仿宋_GB2312" w:eastAsia="仿宋_GB2312" w:hAnsi="仿宋_GB2312" w:cs="仿宋_GB2312" w:hint="eastAsia"/>
          <w:sz w:val="32"/>
          <w:szCs w:val="32"/>
        </w:rPr>
        <w:t>主要从法治建设、涉水事务管理、健全水生态环境治理责任体系、提升水环境监测监管水平、风险防控、科技创新、人才队伍建设、水文化建设等八个方面进行了安排部署。</w:t>
      </w:r>
    </w:p>
    <w:p w14:paraId="7DF97E67" w14:textId="77777777" w:rsidR="00DE40AC" w:rsidRDefault="00622AC5">
      <w:pPr>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第七章</w:t>
      </w:r>
      <w:r>
        <w:rPr>
          <w:rFonts w:ascii="楷体" w:eastAsia="楷体" w:hAnsi="楷体" w:cs="楷体" w:hint="eastAsia"/>
          <w:sz w:val="32"/>
          <w:szCs w:val="32"/>
        </w:rPr>
        <w:t xml:space="preserve"> </w:t>
      </w:r>
      <w:r>
        <w:rPr>
          <w:rFonts w:ascii="楷体" w:eastAsia="楷体" w:hAnsi="楷体" w:cs="楷体" w:hint="eastAsia"/>
          <w:sz w:val="32"/>
          <w:szCs w:val="32"/>
        </w:rPr>
        <w:t>保障措施。</w:t>
      </w:r>
      <w:r>
        <w:rPr>
          <w:rFonts w:ascii="仿宋_GB2312" w:eastAsia="仿宋_GB2312" w:hAnsi="仿宋_GB2312" w:cs="仿宋_GB2312" w:hint="eastAsia"/>
          <w:sz w:val="32"/>
          <w:szCs w:val="32"/>
        </w:rPr>
        <w:t>从坚持党的全面领导、完善规划实施机制、科学有序推进、完善资金投入机制、充分调动全社会力量等五个方面进行了要求。</w:t>
      </w:r>
    </w:p>
    <w:sectPr w:rsidR="00DE40AC">
      <w:footerReference w:type="default" r:id="rId7"/>
      <w:pgSz w:w="11906" w:h="16838"/>
      <w:pgMar w:top="1440" w:right="1587" w:bottom="1417"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CF45" w14:textId="77777777" w:rsidR="00622AC5" w:rsidRDefault="00622AC5">
      <w:r>
        <w:separator/>
      </w:r>
    </w:p>
  </w:endnote>
  <w:endnote w:type="continuationSeparator" w:id="0">
    <w:p w14:paraId="0C4BE63C" w14:textId="77777777" w:rsidR="00622AC5" w:rsidRDefault="0062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4AF7" w14:textId="77777777" w:rsidR="00DE40AC" w:rsidRDefault="00622AC5">
    <w:pPr>
      <w:pStyle w:val="a4"/>
    </w:pPr>
    <w:r>
      <w:rPr>
        <w:noProof/>
      </w:rPr>
      <mc:AlternateContent>
        <mc:Choice Requires="wps">
          <w:drawing>
            <wp:anchor distT="0" distB="0" distL="114300" distR="114300" simplePos="0" relativeHeight="251658240" behindDoc="0" locked="0" layoutInCell="1" allowOverlap="1" wp14:anchorId="3B5BC405" wp14:editId="4A7BC7D0">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AD41CB" w14:textId="77777777" w:rsidR="00DE40AC" w:rsidRDefault="00622AC5">
                          <w:pPr>
                            <w:pStyle w:val="a4"/>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rFonts w:hint="eastAsia"/>
                              <w:sz w:val="30"/>
                              <w:szCs w:val="30"/>
                            </w:rPr>
                            <w:t>1</w:t>
                          </w:r>
                          <w:r>
                            <w:rPr>
                              <w:rFonts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5BC405"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9AD41CB" w14:textId="77777777" w:rsidR="00DE40AC" w:rsidRDefault="00622AC5">
                    <w:pPr>
                      <w:pStyle w:val="a4"/>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rFonts w:hint="eastAsia"/>
                        <w:sz w:val="30"/>
                        <w:szCs w:val="30"/>
                      </w:rPr>
                      <w:t>1</w:t>
                    </w:r>
                    <w:r>
                      <w:rPr>
                        <w:rFonts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1CA2" w14:textId="77777777" w:rsidR="00622AC5" w:rsidRDefault="00622AC5">
      <w:r>
        <w:separator/>
      </w:r>
    </w:p>
  </w:footnote>
  <w:footnote w:type="continuationSeparator" w:id="0">
    <w:p w14:paraId="0A360786" w14:textId="77777777" w:rsidR="00622AC5" w:rsidRDefault="0062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855D7D"/>
    <w:rsid w:val="DB7FF13A"/>
    <w:rsid w:val="EFFF00EF"/>
    <w:rsid w:val="F7BE4F4E"/>
    <w:rsid w:val="FFEBB57F"/>
    <w:rsid w:val="00622AC5"/>
    <w:rsid w:val="00DE40AC"/>
    <w:rsid w:val="00DF4628"/>
    <w:rsid w:val="0867382A"/>
    <w:rsid w:val="140D6C53"/>
    <w:rsid w:val="16E769AE"/>
    <w:rsid w:val="170102D5"/>
    <w:rsid w:val="18CA5CBE"/>
    <w:rsid w:val="18D05817"/>
    <w:rsid w:val="196C5BA2"/>
    <w:rsid w:val="1B763E77"/>
    <w:rsid w:val="1B855D7D"/>
    <w:rsid w:val="1DA81DFC"/>
    <w:rsid w:val="1FCE5A86"/>
    <w:rsid w:val="20EA7684"/>
    <w:rsid w:val="23272834"/>
    <w:rsid w:val="2429091D"/>
    <w:rsid w:val="28994C49"/>
    <w:rsid w:val="28BB05DB"/>
    <w:rsid w:val="2C6A072F"/>
    <w:rsid w:val="2D6805E7"/>
    <w:rsid w:val="2E437D85"/>
    <w:rsid w:val="31255A44"/>
    <w:rsid w:val="3259353B"/>
    <w:rsid w:val="32AC4A1E"/>
    <w:rsid w:val="34AA3D65"/>
    <w:rsid w:val="35441B47"/>
    <w:rsid w:val="3A48481F"/>
    <w:rsid w:val="3A4A619B"/>
    <w:rsid w:val="3B697EDA"/>
    <w:rsid w:val="3C7F6D4C"/>
    <w:rsid w:val="46561B74"/>
    <w:rsid w:val="48FF202F"/>
    <w:rsid w:val="4C923A9E"/>
    <w:rsid w:val="4DF8367A"/>
    <w:rsid w:val="4F7F1E72"/>
    <w:rsid w:val="50324B0A"/>
    <w:rsid w:val="54144A4E"/>
    <w:rsid w:val="555C3680"/>
    <w:rsid w:val="563D0789"/>
    <w:rsid w:val="5A495386"/>
    <w:rsid w:val="5A7A74D9"/>
    <w:rsid w:val="5AEFDF6D"/>
    <w:rsid w:val="5FA72A27"/>
    <w:rsid w:val="5FDF412E"/>
    <w:rsid w:val="5FEA1E9E"/>
    <w:rsid w:val="601E6376"/>
    <w:rsid w:val="61011ECA"/>
    <w:rsid w:val="630153B4"/>
    <w:rsid w:val="65F4517D"/>
    <w:rsid w:val="67527E99"/>
    <w:rsid w:val="6ADF77C3"/>
    <w:rsid w:val="6CD75280"/>
    <w:rsid w:val="6FC7CBFA"/>
    <w:rsid w:val="6FFFD50C"/>
    <w:rsid w:val="70213425"/>
    <w:rsid w:val="73AB1C07"/>
    <w:rsid w:val="76720DC7"/>
    <w:rsid w:val="77BD8798"/>
    <w:rsid w:val="7B2EE9B3"/>
    <w:rsid w:val="7BCA51AD"/>
    <w:rsid w:val="7DB2728F"/>
    <w:rsid w:val="7DFECCE9"/>
    <w:rsid w:val="7E0E30E3"/>
    <w:rsid w:val="7E6301E8"/>
    <w:rsid w:val="7FFFDDD3"/>
    <w:rsid w:val="9FEF6FBF"/>
    <w:rsid w:val="B6934D4A"/>
    <w:rsid w:val="BC7F02D0"/>
    <w:rsid w:val="BEFF6B3E"/>
    <w:rsid w:val="CC6B4758"/>
    <w:rsid w:val="D3FF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56D6"/>
  <w15:docId w15:val="{BA3EC4E0-8450-4E1C-93B3-9094DC9F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spacing w:line="560" w:lineRule="exact"/>
      <w:ind w:firstLineChars="200" w:firstLine="200"/>
    </w:pPr>
    <w:rPr>
      <w:rFonts w:ascii="Times New Roman" w:eastAsia="仿宋" w:hAnsi="Times New Roman"/>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gang</cp:lastModifiedBy>
  <cp:revision>2</cp:revision>
  <cp:lastPrinted>2019-03-19T18:10:00Z</cp:lastPrinted>
  <dcterms:created xsi:type="dcterms:W3CDTF">2019-02-16T15:35:00Z</dcterms:created>
  <dcterms:modified xsi:type="dcterms:W3CDTF">2022-04-11T09:34:00Z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