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安阳市四水同治工作领导小组办公室</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关于《安阳市四水同治规划（2021-2035年）》的编制说明</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楷体" w:hAnsi="楷体" w:eastAsia="楷体" w:cs="楷体"/>
          <w:sz w:val="32"/>
          <w:szCs w:val="32"/>
        </w:rPr>
      </w:pP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现就《安阳市四水同治规划（2021-2035年）》（以下简称《规划》）的编制情况说明如下：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一、编制依据和背景</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2018年9月24日，《河南省人民政府关于实施四水同治加快推进新时代水利现代化的意见》（豫政〔2018〕31号），明确了实施四水同治的重大意义、总体要求、基本原则、重点任务和保障措施。为深入贯彻落实习近平新时代中国特色社会主义思想和党的十九大精神，根据《河南省人民政府关于实施四水同治加快推进新时代水利现代化的意见》（豫政〔2018〕31号）要求，2019年3月29日，《安阳市人民政府关于实施四水同治加快推进新时代水利现代化的意见》(安政〔2019〕3号)印发实施。</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贯彻落实《安阳市人民政府关于实施四水同治加快推进新时代水利现代化的意见》(安政〔2019〕3号)，进一步明确目标、细化任务，确保四水同治各项工作落到实处。2019年5月16日，《安阳市人民政府办公室关于印发安阳市四水同治2019年度工作方案的通知》(安政办〔2019〕17号)要求，加快四水同治规划体系编制，完成四水同治总体规划和10个专项规划，为四水同治奠定规划基础。</w:t>
      </w:r>
    </w:p>
    <w:p>
      <w:pPr>
        <w:numPr>
          <w:ilvl w:val="0"/>
          <w:numId w:val="0"/>
        </w:numPr>
        <w:spacing w:line="60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按照市政府要求，市四水同治办及市水利局立即启动并加快四水同治规划体系编制工作。日前，形成了《安阳市四水同治规划（2021-2035年）（征求意见稿）》。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二、主要内容</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规划》与河南省四水同治规划总体框架保持一致，分为现状与形势、规划思路与布局、涉水空间管控、水灾害防治、水资源节约集约利用、水环境治理与保护、水生态保护与修复、水文化保护与传承、水治理体系与治理能力现代化、规划实施、保障措施十一个章节。</w:t>
      </w:r>
    </w:p>
    <w:p>
      <w:pPr>
        <w:spacing w:line="56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楷体" w:hAnsi="楷体" w:eastAsia="楷体" w:cs="楷体"/>
          <w:sz w:val="32"/>
          <w:szCs w:val="32"/>
        </w:rPr>
        <w:t>第一章 现状与形势。</w:t>
      </w:r>
      <w:r>
        <w:rPr>
          <w:rFonts w:hint="eastAsia" w:ascii="仿宋_GB2312" w:hAnsi="仿宋_GB2312" w:eastAsia="仿宋_GB2312" w:cs="仿宋_GB2312"/>
          <w:color w:val="auto"/>
          <w:sz w:val="32"/>
          <w:szCs w:val="32"/>
          <w:lang w:val="en-US" w:eastAsia="zh-CN"/>
        </w:rPr>
        <w:t>全面总结安阳市治水兴水成就，论述面临的形式，分析存在的挑战和压力。</w:t>
      </w:r>
    </w:p>
    <w:p>
      <w:pPr>
        <w:spacing w:line="56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楷体" w:hAnsi="楷体" w:eastAsia="楷体" w:cs="楷体"/>
          <w:sz w:val="32"/>
          <w:szCs w:val="32"/>
        </w:rPr>
        <w:t>第二章 规划思路与布局。</w:t>
      </w:r>
      <w:r>
        <w:rPr>
          <w:rFonts w:hint="eastAsia" w:ascii="仿宋_GB2312" w:hAnsi="仿宋_GB2312" w:eastAsia="仿宋_GB2312" w:cs="仿宋_GB2312"/>
          <w:color w:val="auto"/>
          <w:sz w:val="32"/>
          <w:szCs w:val="32"/>
          <w:lang w:val="en-US" w:eastAsia="zh-CN"/>
        </w:rPr>
        <w:t>从指导思想、基本原则、规划目标、总体布局四个方面进行了阐述。</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en-US" w:eastAsia="zh-CN"/>
        </w:rPr>
        <w:t>1.指导思想。以习近平新时代中国特色社会主义思想为指导，遵循习近平总书记治水兴水重要论述和关于河南工作重要指示批示精神，全面贯彻党的十九大、十九届历次全会精神，立足新发展阶段，完整、准确、全面贯彻新发展理念，融入新发展格局，以推动高质量发展为主题，锚定“两个确保”的战略目标，以黄河流域生态保护和高质量发展、南水北调后续工程高质量发展为引领，按照省委、省政府和市委、市政府四水同治工作部署，开展水资源、水环境、水生态、水灾害统筹治理，实施重点工程，提升水资源节约集约利用能力，着力构建兴利除害的现代水网体系，深化水利改革创新，着力推进水治理体系和治理能力现代化，为建成“一个强市”实现“八个领先”的奋斗目标，全面建设社会主义现代化活力古都出彩安阳提供有力的水安全和水生态环境支撑和保障。</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en-US" w:eastAsia="zh-CN"/>
        </w:rPr>
        <w:t>2.基本原则。坚持以人为本，人水和谐；坚持生态优先，绿色发展；坚持节水优先、量水而行；坚持因地制宜、合理布局；坚持统筹兼顾、系统治理；坚持两手发力、协同推进。</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en-US" w:eastAsia="zh-CN"/>
        </w:rPr>
        <w:t>3.规划目标与指标。</w:t>
      </w:r>
      <w:r>
        <w:rPr>
          <w:rFonts w:hint="eastAsia" w:ascii="仿宋_GB2312" w:hAnsi="仿宋_GB2312" w:eastAsia="仿宋_GB2312" w:cs="仿宋_GB2312"/>
          <w:color w:val="auto"/>
          <w:sz w:val="32"/>
          <w:szCs w:val="32"/>
          <w:lang w:val="zh-CN" w:eastAsia="zh-CN"/>
        </w:rPr>
        <w:t>到2025年，防灾减灾救灾能力进一步提升，节水型社会初步建成，全市水质优良比例持续提升，兴利除害现代水网框架初步建成，综合现代化水治理体系和治理能力显著提升，水安全保障能力进一步增强。</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eastAsia="zh-CN"/>
        </w:rPr>
        <w:t>到2035年，“系统完备、丰枯调剂、循环畅通、安全高效、绿色智能”兴利除害现代水网体系基本形成，水治理体系和治理能力现代化基本实现，美丽健康水生态系统基本形成，经济社会高质量发展的水资源支撑和水安全保障坚实牢固。其中，水灾害防治规划指标4项，水资源利用规划指标9项，水环境治理规划指标4项，水生态修复规划指标3项，规划指标总体上与河南省规划指标持平，个别指标高于省规划指标。同时，展望205</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eastAsia="zh-CN"/>
        </w:rPr>
        <w:t>年目标。</w:t>
      </w:r>
    </w:p>
    <w:p>
      <w:pPr>
        <w:numPr>
          <w:ilvl w:val="0"/>
          <w:numId w:val="0"/>
        </w:numPr>
        <w:spacing w:line="600" w:lineRule="exact"/>
        <w:ind w:firstLine="640" w:firstLineChars="200"/>
        <w:rPr>
          <w:rFonts w:ascii="Times New Roman" w:hAnsi="Times New Roman" w:eastAsia="仿宋" w:cs="宋体"/>
          <w:kern w:val="0"/>
          <w:sz w:val="32"/>
          <w:szCs w:val="32"/>
          <w:lang w:val="zh-CN" w:bidi="zh-CN"/>
        </w:rPr>
      </w:pPr>
      <w:r>
        <w:rPr>
          <w:rFonts w:hint="eastAsia" w:ascii="仿宋_GB2312" w:hAnsi="仿宋_GB2312" w:eastAsia="仿宋_GB2312" w:cs="仿宋_GB2312"/>
          <w:color w:val="auto"/>
          <w:sz w:val="32"/>
          <w:szCs w:val="32"/>
          <w:lang w:val="en-US" w:eastAsia="zh-CN"/>
        </w:rPr>
        <w:t>4.总体布局。</w:t>
      </w:r>
      <w:r>
        <w:rPr>
          <w:rFonts w:hint="eastAsia" w:ascii="仿宋_GB2312" w:hAnsi="仿宋_GB2312" w:eastAsia="仿宋_GB2312" w:cs="仿宋_GB2312"/>
          <w:color w:val="auto"/>
          <w:sz w:val="32"/>
          <w:szCs w:val="32"/>
          <w:lang w:val="zh-CN" w:eastAsia="zh-CN"/>
        </w:rPr>
        <w:t>立足市情水情，以自然水系为基础、重大引调水工程为通道、综合性水利枢纽和调蓄工程为节点，构建“四横六纵两域”兴利除害现代水网，全面提升水安全保障能力。</w:t>
      </w:r>
    </w:p>
    <w:p>
      <w:pPr>
        <w:spacing w:line="56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楷体" w:hAnsi="楷体" w:eastAsia="楷体" w:cs="楷体"/>
          <w:sz w:val="32"/>
          <w:szCs w:val="32"/>
        </w:rPr>
        <w:t>第三章 涉水空间管控。</w:t>
      </w:r>
      <w:r>
        <w:rPr>
          <w:rFonts w:hint="eastAsia" w:ascii="仿宋_GB2312" w:hAnsi="仿宋_GB2312" w:eastAsia="仿宋_GB2312" w:cs="仿宋_GB2312"/>
          <w:color w:val="auto"/>
          <w:sz w:val="32"/>
          <w:szCs w:val="32"/>
          <w:lang w:val="en-US" w:eastAsia="zh-CN"/>
        </w:rPr>
        <w:t>主要从涉水空间类型、河湖水域岸线空间及管控、陆域涉水生态空间及管控、水利基础设施空间及管控等五个方面进行了规划。</w:t>
      </w:r>
    </w:p>
    <w:p>
      <w:pPr>
        <w:spacing w:line="56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楷体" w:hAnsi="楷体" w:eastAsia="楷体" w:cs="楷体"/>
          <w:sz w:val="32"/>
          <w:szCs w:val="32"/>
        </w:rPr>
        <w:t>第四章 水灾害防治。</w:t>
      </w:r>
      <w:r>
        <w:rPr>
          <w:rFonts w:hint="eastAsia" w:ascii="仿宋_GB2312" w:hAnsi="仿宋_GB2312" w:eastAsia="仿宋_GB2312" w:cs="仿宋_GB2312"/>
          <w:color w:val="auto"/>
          <w:sz w:val="32"/>
          <w:szCs w:val="32"/>
          <w:lang w:val="en-US" w:eastAsia="zh-CN"/>
        </w:rPr>
        <w:t>主要从标准与策略、防洪除涝工程建设、抗旱应急工程建设、非工程措施建设等四个方面进行了谋划。主要任务与谋划项目如下：</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1.水库、水闸工程：新建金牛山中型水库，泉门小（1）型水库，对龙泉、大屯、张王闫等病险水库及洹河郭盆闸和豆公闸、汤永河菜园闸、汤河周流闸、黄庄河刘庄闸等病险水闸进行除险加固。</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河道治理：对漳河、卫河、金堤河、洹河、洪河、汤永河、淇河、淅河、露水河、粉红江、硝河、沙河、浚内河、长虹渠、羑河、金线河、淤泥河、桃园河、茶店河等主要河道，牛村沟、宝山沟、交口沟、白杨沟等重要山洪沟进行治理，实施南水北调中线防洪影响处理工程。</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3.蓄滞洪区工程：规划实施广润坡、长虹渠、白寺坡、任固坡、小滩坡、北金堤蓄滞洪区建设，完善崔家桥蓄滞洪区安全建设配套工程。</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城乡防洪排涝提升工程：规划实施安阳市区洹河分洪道、安阳桥改建、洪河南林高速至京广铁路段治理、西区截流渠、洹河—万金渠—洪河连通等工程；各县（市）城区段洹河、黄华河、桃园河、硝河、汤河河道治理等工程；东部平原区排涝沟渠达标治理工程。</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5.农村和乡镇抗旱应急水源改造工程：西部山丘区主要改造塘坝、蓄水池、旱井水窖及机动送水设备等。东部平原区主要改造灌区节水改造、机电井、引提调水工程及流动抗旱设备等。</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6.新建乡镇和农村抗旱应急水源工程：西部山丘区新建中小型水库、塘坝、蓄水池、提灌站、输水管线等工程。东部平原区新建沟河闸坝、提灌站、引黄调蓄及渠系连通等工程。</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建设城市应急备用水源工程：安阳市区新建南水北调宝莲湖调蓄工程，规划建设地下水应急水源地，结合引岳入安供水工程，实现多水源互补和互为备用。各县（市）结合南水北调中线配套工程、西部调水工程及已有供水水源，规划城区应急备用水源工程建设。</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8.防洪排涝功能管理项目：及时开展水库、水闸、堤坝安全鉴定。</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9.洪涝风险控制建设项目：1、完善预警预报体系。2、开展蓄滞洪区及及城市洪水风险图编制工作。3、组织修订完善或编制防御洪水、洪水调度、超标准洪水预案等方案。</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10.旱灾风险控制项目：1、建立综合试验站、墒情中心、墒情监测站等；2、建立旱情监测预警综合平台。</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楷体" w:hAnsi="楷体" w:eastAsia="楷体" w:cs="楷体"/>
          <w:sz w:val="32"/>
          <w:szCs w:val="32"/>
        </w:rPr>
        <w:t>第五章 水资源节约集约利用。</w:t>
      </w:r>
      <w:r>
        <w:rPr>
          <w:rFonts w:hint="eastAsia" w:ascii="仿宋_GB2312" w:hAnsi="仿宋_GB2312" w:eastAsia="仿宋_GB2312" w:cs="仿宋_GB2312"/>
          <w:color w:val="auto"/>
          <w:sz w:val="32"/>
          <w:szCs w:val="32"/>
          <w:lang w:val="en-US" w:eastAsia="zh-CN"/>
        </w:rPr>
        <w:t>主要从水资源节约利用、水资源供需分析、水资源配置方案、特殊干旱年水资源调配思路、重点领域和地区水资源保障等五个方面进行了谋划。主要任务与谋划项目如下：</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重点水源工程：建设金牛山、泉门等中小型水库；施彰武水库、双泉水库扩容工程，小南海水库防渗堵漏治理工程；新建内黄县调蓄池、汤阴县调蓄池等工程；规范有序推进引黄调蓄工程建设；新建内黄县卫河水闸枢纽、汤阴县卫河五陵橡胶坝等工程。</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2.重点供水工程：实施引岳入安二期及内黄延伸工程、南水北调西部调水工程、引淇入琵改造工程，开展南水北调工程工程配套水厂及管网建设。</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3、大型灌区现代化改造和中型灌区节水改造：开展红旗渠灌区、大功灌区等大型灌区现代化改造，瓦岗灌区、珠泉灌区、琵琶寺灌区等中型灌区节水改造。</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4、城乡供水一体化：推动地表水置换和城乡供水一体化工作，持续推进城镇供水管网向农村延伸。</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5、生活和工业节水：开展城镇供水管网改造、节水器具推广使用、园林绿化节水改造；推进钢铁、化工、印染等行业等高耗水行业节水改造。</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6、非常规水源利用：新建或扩建污水处理工程，在污水处理厂内新增水质提升设施，新建雨水集蓄工程。</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楷体" w:hAnsi="楷体" w:eastAsia="楷体" w:cs="楷体"/>
          <w:sz w:val="32"/>
          <w:szCs w:val="32"/>
        </w:rPr>
        <w:t>第六章 水环境治理与保护。</w:t>
      </w:r>
      <w:r>
        <w:rPr>
          <w:rFonts w:hint="eastAsia" w:ascii="仿宋_GB2312" w:hAnsi="仿宋_GB2312" w:eastAsia="仿宋_GB2312" w:cs="仿宋_GB2312"/>
          <w:color w:val="auto"/>
          <w:sz w:val="32"/>
          <w:szCs w:val="32"/>
          <w:lang w:val="en-US" w:eastAsia="zh-CN"/>
        </w:rPr>
        <w:t>主要从集中式饮用水水源地安全保障、陆域污染防治及控制、入河排污口综合整治、主要河湖水环境综合治理等四个方面进行了谋划。主要任务与谋划项目如下：</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1.城镇污水厂建设及提质改造工程：新建和改扩建城镇污水处理厂，到2025年新增污水处理工程规模22.85万吨/日。</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2.人工湿地工程：在安阳市城区和林州市、滑县、内黄县等具备条件的污水处理厂建设尾水人工湿地。</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3.水环境综合整治工程：对汤河、硝河、黄华河、交口沟、流河沟等河流，进行水环境整治。</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4.水源地隔离防护工程：在弓上水库、南谷洞水库、城市地下水等重要饮用水水源地保护区边界设立隔离防护设施。</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5.水源地生态修复工程：对弓上水库和南谷洞水库等地表型饮用水水源地实施河岸及库区生态修复和保护工程。</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6.水库富营养化防治工程：小南海水库、彰武水库、汤河水库富营养化治理。</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7.河流水质改善工程：对洹河城区段、洪河城区段、茶店河城区段等，实施“一河一策”水环境治理改善工程。</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楷体" w:hAnsi="楷体" w:eastAsia="楷体" w:cs="楷体"/>
          <w:sz w:val="32"/>
          <w:szCs w:val="32"/>
        </w:rPr>
        <w:t>第七章 水生态保护与修复。</w:t>
      </w:r>
      <w:r>
        <w:rPr>
          <w:rFonts w:hint="eastAsia" w:ascii="仿宋_GB2312" w:hAnsi="仿宋_GB2312" w:eastAsia="仿宋_GB2312" w:cs="仿宋_GB2312"/>
          <w:color w:val="auto"/>
          <w:sz w:val="32"/>
          <w:szCs w:val="32"/>
          <w:lang w:val="en-US" w:eastAsia="zh-CN"/>
        </w:rPr>
        <w:t>从重点河湖生态流量保障、河湖生态保护与修复、水源涵养与水土保持、地下水综合治理与保护等四个方面进行了谋划。主要任务与谋划项目如下：</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1.生态需水保障：改造现有闸坝工程，建立水库、水电站生态流量泄放监测预警机制，加快小水电绿色改造步伐，结合水库改扩建工程，增设鱼道及生态泄放设施，补充完善生态调度措施。</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湿地保护与建设：实施汤河水库、彰武水库、汤永河中上游湿地生态修复。推进洹河、洪河、羑河、硝河、金堤河等主要河流湿地建设。实施龙山河沟、交口沟、于曹沟、永通河等水质稳定达标压力大的重要支流入河口及城镇污水处理厂等重要节点湿地建设。</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3.重要生境修复：漳河、卫河、金堤河、洹河、汤河、洪河等河流实施生态清淤和滨岸带植被缓冲带建设；漳河、淅河等采砂河道的基底生态修复。</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4.河流生态廊道：建设卫河生态廊道、金堤河生态走廊、南水北调中线生态保护带，开展漳河、洹河、洪河、茶店河、汤河、羑河、淇河、淅河、露水河、硝河、大功河等主要河流生态廊道建设。</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5.地下水综合治理：实施农业高效节水灌溉工程、水源置换工程、地下水回补工程等，实现地下水压采，加强计量监测、取水井封存、水质保护等地下水管理。</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6.水源涵养林营造：在河流源头区、上游以及岳城水库、弓上水库、南谷洞水库等城市水源地周边，实施水源涵养林营造工程。</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7.水土保持：开展重点防治区水土流失综合治理工程、坡耕地水土流失综合治理工程、生态清洁小流域建设等。</w:t>
      </w:r>
    </w:p>
    <w:p>
      <w:pPr>
        <w:numPr>
          <w:ilvl w:val="0"/>
          <w:numId w:val="0"/>
        </w:num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8.水生态监测与管理：水生态环境治理制度体系建设、水生态环境治理监管体系建设、水生态环境智慧监测网络建设。</w:t>
      </w:r>
    </w:p>
    <w:p>
      <w:pPr>
        <w:spacing w:line="56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楷体" w:hAnsi="楷体" w:eastAsia="楷体" w:cs="楷体"/>
          <w:sz w:val="32"/>
          <w:szCs w:val="32"/>
        </w:rPr>
        <w:t>第八章 水文化保护与传承。</w:t>
      </w:r>
      <w:r>
        <w:rPr>
          <w:rFonts w:hint="eastAsia" w:ascii="仿宋_GB2312" w:hAnsi="仿宋_GB2312" w:eastAsia="仿宋_GB2312" w:cs="仿宋_GB2312"/>
          <w:color w:val="auto"/>
          <w:sz w:val="32"/>
          <w:szCs w:val="32"/>
          <w:lang w:val="en-US" w:eastAsia="zh-CN"/>
        </w:rPr>
        <w:t>从水文化挖掘与保护、水文化工程建设、水文化宣传与教育等三个方面进行了安排部署。</w:t>
      </w:r>
    </w:p>
    <w:p>
      <w:pPr>
        <w:spacing w:line="56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楷体" w:hAnsi="楷体" w:eastAsia="楷体" w:cs="楷体"/>
          <w:sz w:val="32"/>
          <w:szCs w:val="32"/>
        </w:rPr>
        <w:t>第九章 水治理体系与治理能力现代化。</w:t>
      </w:r>
      <w:r>
        <w:rPr>
          <w:rFonts w:hint="eastAsia" w:ascii="仿宋_GB2312" w:hAnsi="仿宋_GB2312" w:eastAsia="仿宋_GB2312" w:cs="仿宋_GB2312"/>
          <w:color w:val="auto"/>
          <w:sz w:val="32"/>
          <w:szCs w:val="32"/>
          <w:lang w:val="en-US" w:eastAsia="zh-CN"/>
        </w:rPr>
        <w:t>从强化河湖长制、健全水治理法规体系、深化治水体制机制改革、强化涉水事务监管、提升综合管理水平、加强智慧水利建设等六个方面进行了安排部署。</w:t>
      </w:r>
    </w:p>
    <w:p>
      <w:pPr>
        <w:autoSpaceDE w:val="0"/>
        <w:autoSpaceDN w:val="0"/>
        <w:adjustRightInd w:val="0"/>
        <w:ind w:firstLine="640" w:firstLineChars="200"/>
        <w:jc w:val="left"/>
        <w:rPr>
          <w:rFonts w:hint="eastAsia" w:ascii="仿宋_GB2312" w:hAnsi="仿宋_GB2312" w:eastAsia="仿宋_GB2312" w:cs="仿宋_GB2312"/>
          <w:color w:val="auto"/>
          <w:sz w:val="32"/>
          <w:szCs w:val="32"/>
          <w:lang w:val="en-US" w:eastAsia="zh-CN"/>
        </w:rPr>
      </w:pPr>
      <w:r>
        <w:rPr>
          <w:rFonts w:hint="eastAsia" w:ascii="楷体" w:hAnsi="楷体" w:eastAsia="楷体" w:cs="楷体"/>
          <w:sz w:val="32"/>
          <w:szCs w:val="32"/>
        </w:rPr>
        <w:t>第十章 规划实施。</w:t>
      </w:r>
      <w:r>
        <w:rPr>
          <w:rFonts w:hint="eastAsia" w:ascii="仿宋_GB2312" w:hAnsi="仿宋_GB2312" w:eastAsia="仿宋_GB2312" w:cs="仿宋_GB2312"/>
          <w:color w:val="auto"/>
          <w:sz w:val="32"/>
          <w:szCs w:val="32"/>
          <w:lang w:val="en-US" w:eastAsia="zh-CN"/>
        </w:rPr>
        <w:t>从开展六项重大行动、实施四类重点工程、确定资金筹措方案三个方面进行了安排部署。</w:t>
      </w:r>
    </w:p>
    <w:p>
      <w:pPr>
        <w:spacing w:line="56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楷体" w:hAnsi="楷体" w:eastAsia="楷体" w:cs="楷体"/>
          <w:sz w:val="32"/>
          <w:szCs w:val="32"/>
        </w:rPr>
        <w:t>第十一章 保障措施。</w:t>
      </w:r>
      <w:r>
        <w:rPr>
          <w:rFonts w:hint="eastAsia" w:ascii="仿宋_GB2312" w:hAnsi="仿宋_GB2312" w:eastAsia="仿宋_GB2312" w:cs="仿宋_GB2312"/>
          <w:color w:val="auto"/>
          <w:sz w:val="32"/>
          <w:szCs w:val="32"/>
          <w:lang w:val="en-US" w:eastAsia="zh-CN"/>
        </w:rPr>
        <w:t>从加强党的全面领导、强化</w:t>
      </w:r>
      <w:bookmarkStart w:id="0" w:name="_GoBack"/>
      <w:bookmarkEnd w:id="0"/>
      <w:r>
        <w:rPr>
          <w:rFonts w:hint="eastAsia" w:ascii="仿宋_GB2312" w:hAnsi="仿宋_GB2312" w:eastAsia="仿宋_GB2312" w:cs="仿宋_GB2312"/>
          <w:color w:val="auto"/>
          <w:sz w:val="32"/>
          <w:szCs w:val="32"/>
          <w:lang w:val="en-US" w:eastAsia="zh-CN"/>
        </w:rPr>
        <w:t>依法治水、保障资金投入、完善科技创新、统筹项目推进、促进公众参与等六个方面提出了要求。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color w:val="auto"/>
          <w:sz w:val="32"/>
          <w:szCs w:val="32"/>
          <w:u w:val="none"/>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855D7D"/>
    <w:rsid w:val="03A81B72"/>
    <w:rsid w:val="0867382A"/>
    <w:rsid w:val="140D6C53"/>
    <w:rsid w:val="16E769AE"/>
    <w:rsid w:val="170102D5"/>
    <w:rsid w:val="18CA5CBE"/>
    <w:rsid w:val="18D05817"/>
    <w:rsid w:val="196C5BA2"/>
    <w:rsid w:val="1B763E77"/>
    <w:rsid w:val="1B855D7D"/>
    <w:rsid w:val="1DA81DFC"/>
    <w:rsid w:val="1EFF9B8A"/>
    <w:rsid w:val="1FCE5A86"/>
    <w:rsid w:val="20EA7684"/>
    <w:rsid w:val="23272834"/>
    <w:rsid w:val="2429091D"/>
    <w:rsid w:val="28994C49"/>
    <w:rsid w:val="28BB05DB"/>
    <w:rsid w:val="2C6A072F"/>
    <w:rsid w:val="2D3511C6"/>
    <w:rsid w:val="2D6805E7"/>
    <w:rsid w:val="2E437D85"/>
    <w:rsid w:val="31255A44"/>
    <w:rsid w:val="3259353B"/>
    <w:rsid w:val="32AC4A1E"/>
    <w:rsid w:val="34AA3D65"/>
    <w:rsid w:val="35441B47"/>
    <w:rsid w:val="369C597C"/>
    <w:rsid w:val="3857185E"/>
    <w:rsid w:val="3A48481F"/>
    <w:rsid w:val="3A4A619B"/>
    <w:rsid w:val="3B697EDA"/>
    <w:rsid w:val="3C7F6D4C"/>
    <w:rsid w:val="411637AA"/>
    <w:rsid w:val="46561B74"/>
    <w:rsid w:val="48FF202F"/>
    <w:rsid w:val="491A440C"/>
    <w:rsid w:val="4A873D23"/>
    <w:rsid w:val="4C923A9E"/>
    <w:rsid w:val="4DF8367A"/>
    <w:rsid w:val="4F7F1E72"/>
    <w:rsid w:val="50324B0A"/>
    <w:rsid w:val="54144A4E"/>
    <w:rsid w:val="555C3680"/>
    <w:rsid w:val="563D0789"/>
    <w:rsid w:val="5A495386"/>
    <w:rsid w:val="5A7A74D9"/>
    <w:rsid w:val="5AEFDF6D"/>
    <w:rsid w:val="5FA72A27"/>
    <w:rsid w:val="5FDF412E"/>
    <w:rsid w:val="5FEA1E9E"/>
    <w:rsid w:val="601E6376"/>
    <w:rsid w:val="61011ECA"/>
    <w:rsid w:val="630153B4"/>
    <w:rsid w:val="65F4517D"/>
    <w:rsid w:val="67527E99"/>
    <w:rsid w:val="6ADF77C3"/>
    <w:rsid w:val="6CD75280"/>
    <w:rsid w:val="6D173E3F"/>
    <w:rsid w:val="6FC7CBFA"/>
    <w:rsid w:val="6FFFD50C"/>
    <w:rsid w:val="70213425"/>
    <w:rsid w:val="73AB1C07"/>
    <w:rsid w:val="76720DC7"/>
    <w:rsid w:val="77BD8798"/>
    <w:rsid w:val="7B2EE9B3"/>
    <w:rsid w:val="7BCA51AD"/>
    <w:rsid w:val="7BE5F243"/>
    <w:rsid w:val="7DB2728F"/>
    <w:rsid w:val="7DFECCE9"/>
    <w:rsid w:val="7E0E30E3"/>
    <w:rsid w:val="7E6301E8"/>
    <w:rsid w:val="7FFFDDD3"/>
    <w:rsid w:val="9FEF6FBF"/>
    <w:rsid w:val="B6934D4A"/>
    <w:rsid w:val="BC7F02D0"/>
    <w:rsid w:val="BEFF6B3E"/>
    <w:rsid w:val="CC6B4758"/>
    <w:rsid w:val="D3FF340F"/>
    <w:rsid w:val="DB7FF13A"/>
    <w:rsid w:val="EDEB602D"/>
    <w:rsid w:val="EDEBFBFC"/>
    <w:rsid w:val="EF7FBF3F"/>
    <w:rsid w:val="EFFF00EF"/>
    <w:rsid w:val="F7BE4F4E"/>
    <w:rsid w:val="F7ED093A"/>
    <w:rsid w:val="FCFFC078"/>
    <w:rsid w:val="FFEBB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1"/>
    <w:pPr>
      <w:widowControl/>
      <w:spacing w:line="560" w:lineRule="exact"/>
      <w:ind w:firstLine="200" w:firstLineChars="200"/>
    </w:pPr>
    <w:rPr>
      <w:rFonts w:ascii="Times New Roman" w:hAnsi="Times New Roman" w:eastAsia="仿宋"/>
      <w:sz w:val="32"/>
      <w:szCs w:val="32"/>
    </w:rPr>
  </w:style>
  <w:style w:type="paragraph" w:styleId="4">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4"/>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2019-02-18T07:35:00Z</dcterms:created>
  <dc:creator>Administrator</dc:creator>
  <cp:lastModifiedBy>sugon</cp:lastModifiedBy>
  <cp:lastPrinted>2019-03-21T10:10:00Z</cp:lastPrinted>
  <dcterms:modified xsi:type="dcterms:W3CDTF">2022-08-18T09:48:36Z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34BD7B2872454172B3FC90635B3ED92B</vt:lpwstr>
  </property>
</Properties>
</file>