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b/>
          <w:color w:val="auto"/>
          <w:sz w:val="48"/>
          <w:szCs w:val="48"/>
        </w:rPr>
      </w:pPr>
    </w:p>
    <w:p>
      <w:pPr>
        <w:spacing w:line="600" w:lineRule="exact"/>
        <w:jc w:val="center"/>
        <w:rPr>
          <w:rFonts w:ascii="Times New Roman" w:hAnsi="Times New Roman" w:eastAsia="方正小标宋简体"/>
          <w:b/>
          <w:color w:val="auto"/>
          <w:sz w:val="48"/>
          <w:szCs w:val="48"/>
        </w:rPr>
      </w:pPr>
    </w:p>
    <w:p>
      <w:pPr>
        <w:pStyle w:val="5"/>
        <w:ind w:left="31680"/>
        <w:rPr>
          <w:color w:val="auto"/>
        </w:rPr>
      </w:pPr>
    </w:p>
    <w:p>
      <w:pPr>
        <w:spacing w:line="600" w:lineRule="exact"/>
        <w:jc w:val="center"/>
        <w:rPr>
          <w:rFonts w:ascii="Times New Roman" w:hAnsi="Times New Roman" w:eastAsia="方正小标宋简体"/>
          <w:b/>
          <w:color w:val="auto"/>
          <w:sz w:val="48"/>
          <w:szCs w:val="48"/>
        </w:rPr>
      </w:pPr>
    </w:p>
    <w:p>
      <w:pPr>
        <w:spacing w:line="600" w:lineRule="exact"/>
        <w:jc w:val="center"/>
        <w:rPr>
          <w:rFonts w:ascii="方正小标宋_GBK" w:hAnsi="Times New Roman" w:eastAsia="方正小标宋_GBK"/>
          <w:bCs/>
          <w:color w:val="auto"/>
          <w:sz w:val="48"/>
          <w:szCs w:val="48"/>
        </w:rPr>
      </w:pPr>
      <w:r>
        <w:rPr>
          <w:rFonts w:hint="eastAsia" w:ascii="方正小标宋_GBK" w:hAnsi="Times New Roman" w:eastAsia="方正小标宋_GBK"/>
          <w:bCs/>
          <w:color w:val="auto"/>
          <w:sz w:val="48"/>
          <w:szCs w:val="48"/>
        </w:rPr>
        <w:t>安阳市“十四五”现代服务业发展规划</w:t>
      </w:r>
    </w:p>
    <w:p>
      <w:pPr>
        <w:spacing w:line="600" w:lineRule="exact"/>
        <w:rPr>
          <w:rFonts w:ascii="Times New Roman" w:hAnsi="Times New Roman" w:eastAsia="黑体"/>
          <w:b/>
          <w:color w:val="auto"/>
          <w:sz w:val="44"/>
          <w:szCs w:val="44"/>
        </w:rPr>
      </w:pPr>
    </w:p>
    <w:p>
      <w:pPr>
        <w:spacing w:line="600" w:lineRule="exact"/>
        <w:jc w:val="center"/>
        <w:rPr>
          <w:rFonts w:ascii="楷体_GB2312" w:hAnsi="Times New Roman" w:eastAsia="楷体_GB2312"/>
          <w:bCs/>
          <w:color w:val="auto"/>
          <w:sz w:val="44"/>
          <w:szCs w:val="44"/>
        </w:rPr>
      </w:pPr>
      <w:r>
        <w:rPr>
          <w:rFonts w:hint="eastAsia" w:ascii="楷体_GB2312" w:hAnsi="Times New Roman" w:eastAsia="楷体_GB2312"/>
          <w:bCs/>
          <w:color w:val="auto"/>
          <w:sz w:val="44"/>
          <w:szCs w:val="44"/>
        </w:rPr>
        <w:t>（</w:t>
      </w:r>
      <w:r>
        <w:rPr>
          <w:rFonts w:hint="eastAsia" w:ascii="楷体_GB2312" w:hAnsi="Times New Roman" w:eastAsia="楷体_GB2312"/>
          <w:bCs/>
          <w:color w:val="auto"/>
          <w:sz w:val="44"/>
          <w:szCs w:val="44"/>
          <w:lang w:eastAsia="zh-CN"/>
        </w:rPr>
        <w:t>征求意见</w:t>
      </w:r>
      <w:r>
        <w:rPr>
          <w:rFonts w:hint="eastAsia" w:ascii="楷体_GB2312" w:hAnsi="Times New Roman" w:eastAsia="楷体_GB2312"/>
          <w:bCs/>
          <w:color w:val="auto"/>
          <w:sz w:val="44"/>
          <w:szCs w:val="44"/>
        </w:rPr>
        <w:t>稿）</w:t>
      </w:r>
    </w:p>
    <w:p>
      <w:pPr>
        <w:spacing w:line="600" w:lineRule="exact"/>
        <w:rPr>
          <w:rFonts w:ascii="楷体_GB2312" w:hAnsi="Times New Roman" w:eastAsia="楷体_GB2312"/>
          <w:b/>
          <w:color w:val="auto"/>
          <w:sz w:val="44"/>
          <w:szCs w:val="44"/>
        </w:rPr>
      </w:pPr>
    </w:p>
    <w:p>
      <w:pPr>
        <w:spacing w:line="600" w:lineRule="exact"/>
        <w:rPr>
          <w:rFonts w:ascii="Times New Roman" w:hAnsi="Times New Roman" w:eastAsia="黑体"/>
          <w:b/>
          <w:color w:val="auto"/>
          <w:sz w:val="44"/>
          <w:szCs w:val="44"/>
        </w:rPr>
      </w:pPr>
    </w:p>
    <w:p>
      <w:pPr>
        <w:spacing w:line="600" w:lineRule="exact"/>
        <w:rPr>
          <w:rFonts w:ascii="Times New Roman" w:hAnsi="Times New Roman" w:eastAsia="黑体"/>
          <w:b/>
          <w:color w:val="auto"/>
          <w:sz w:val="44"/>
          <w:szCs w:val="44"/>
        </w:rPr>
      </w:pPr>
    </w:p>
    <w:p>
      <w:pPr>
        <w:spacing w:line="600" w:lineRule="exact"/>
        <w:rPr>
          <w:rFonts w:ascii="Times New Roman" w:hAnsi="Times New Roman" w:eastAsia="黑体"/>
          <w:b/>
          <w:color w:val="auto"/>
          <w:sz w:val="44"/>
          <w:szCs w:val="44"/>
        </w:rPr>
      </w:pPr>
    </w:p>
    <w:p>
      <w:pPr>
        <w:spacing w:line="600" w:lineRule="exact"/>
        <w:rPr>
          <w:rFonts w:ascii="Times New Roman" w:hAnsi="Times New Roman" w:eastAsia="黑体"/>
          <w:b/>
          <w:color w:val="auto"/>
          <w:sz w:val="44"/>
          <w:szCs w:val="44"/>
        </w:rPr>
      </w:pPr>
    </w:p>
    <w:p>
      <w:pPr>
        <w:spacing w:line="600" w:lineRule="exact"/>
        <w:rPr>
          <w:rFonts w:ascii="Times New Roman" w:hAnsi="Times New Roman" w:eastAsia="黑体"/>
          <w:b/>
          <w:color w:val="auto"/>
          <w:sz w:val="44"/>
          <w:szCs w:val="44"/>
        </w:rPr>
      </w:pPr>
    </w:p>
    <w:p>
      <w:pPr>
        <w:spacing w:line="600" w:lineRule="exact"/>
        <w:rPr>
          <w:rFonts w:ascii="Times New Roman" w:hAnsi="Times New Roman" w:eastAsia="黑体"/>
          <w:b/>
          <w:color w:val="auto"/>
          <w:sz w:val="44"/>
          <w:szCs w:val="44"/>
        </w:rPr>
      </w:pPr>
    </w:p>
    <w:p>
      <w:pPr>
        <w:spacing w:line="600" w:lineRule="exact"/>
        <w:rPr>
          <w:rFonts w:ascii="Times New Roman" w:hAnsi="Times New Roman" w:eastAsia="楷体_GB2312"/>
          <w:b/>
          <w:color w:val="auto"/>
          <w:sz w:val="32"/>
          <w:szCs w:val="32"/>
        </w:rPr>
      </w:pPr>
    </w:p>
    <w:p>
      <w:pPr>
        <w:spacing w:line="600" w:lineRule="exact"/>
        <w:rPr>
          <w:rFonts w:ascii="Times New Roman" w:hAnsi="Times New Roman" w:eastAsia="楷体_GB2312"/>
          <w:b/>
          <w:color w:val="auto"/>
          <w:sz w:val="32"/>
          <w:szCs w:val="32"/>
        </w:rPr>
      </w:pPr>
    </w:p>
    <w:p>
      <w:pPr>
        <w:spacing w:line="600" w:lineRule="exact"/>
        <w:rPr>
          <w:rFonts w:ascii="Times New Roman" w:hAnsi="Times New Roman" w:eastAsia="楷体_GB2312"/>
          <w:b/>
          <w:color w:val="auto"/>
          <w:sz w:val="32"/>
          <w:szCs w:val="32"/>
        </w:rPr>
      </w:pPr>
    </w:p>
    <w:p>
      <w:pPr>
        <w:spacing w:line="600" w:lineRule="exact"/>
        <w:jc w:val="center"/>
        <w:rPr>
          <w:rFonts w:ascii="Times New Roman" w:hAnsi="Times New Roman" w:eastAsia="楷体_GB2312"/>
          <w:color w:val="auto"/>
          <w:sz w:val="36"/>
          <w:szCs w:val="36"/>
        </w:rPr>
      </w:pPr>
    </w:p>
    <w:p>
      <w:pPr>
        <w:spacing w:line="600" w:lineRule="exact"/>
        <w:jc w:val="center"/>
        <w:rPr>
          <w:rFonts w:ascii="Times New Roman" w:hAnsi="Times New Roman" w:eastAsia="楷体_GB2312"/>
          <w:color w:val="auto"/>
          <w:sz w:val="36"/>
          <w:szCs w:val="36"/>
        </w:rPr>
      </w:pPr>
    </w:p>
    <w:p>
      <w:pPr>
        <w:spacing w:line="600" w:lineRule="exact"/>
        <w:jc w:val="center"/>
        <w:rPr>
          <w:rFonts w:ascii="Times New Roman" w:hAnsi="Times New Roman" w:eastAsia="楷体_GB2312"/>
          <w:color w:val="auto"/>
          <w:sz w:val="36"/>
          <w:szCs w:val="36"/>
        </w:rPr>
      </w:pPr>
      <w:r>
        <w:rPr>
          <w:rFonts w:hint="eastAsia" w:ascii="Times New Roman" w:hAnsi="Times New Roman" w:eastAsia="楷体_GB2312"/>
          <w:color w:val="auto"/>
          <w:sz w:val="36"/>
          <w:szCs w:val="36"/>
        </w:rPr>
        <w:t>安阳市发展和改革委员会</w:t>
      </w:r>
    </w:p>
    <w:p>
      <w:pPr>
        <w:spacing w:line="600" w:lineRule="exact"/>
        <w:jc w:val="center"/>
        <w:rPr>
          <w:rFonts w:ascii="Times New Roman" w:hAnsi="Times New Roman" w:eastAsia="楷体_GB2312"/>
          <w:color w:val="auto"/>
          <w:sz w:val="36"/>
          <w:szCs w:val="36"/>
        </w:rPr>
        <w:sectPr>
          <w:footerReference r:id="rId5" w:type="first"/>
          <w:footerReference r:id="rId3" w:type="default"/>
          <w:footerReference r:id="rId4" w:type="even"/>
          <w:pgSz w:w="11906" w:h="16838"/>
          <w:pgMar w:top="1985" w:right="1474" w:bottom="1985" w:left="1588" w:header="851" w:footer="1418" w:gutter="0"/>
          <w:pgNumType w:start="1"/>
          <w:cols w:space="425" w:num="1"/>
          <w:titlePg/>
          <w:docGrid w:type="lines" w:linePitch="312" w:charSpace="0"/>
        </w:sectPr>
      </w:pPr>
    </w:p>
    <w:p>
      <w:pPr>
        <w:spacing w:line="600" w:lineRule="exact"/>
        <w:ind w:firstLine="640" w:firstLineChars="200"/>
        <w:rPr>
          <w:rFonts w:ascii="Times New Roman" w:hAnsi="Times New Roman" w:eastAsia="黑体"/>
          <w:color w:val="auto"/>
          <w:sz w:val="32"/>
          <w:szCs w:val="32"/>
        </w:rPr>
      </w:pPr>
    </w:p>
    <w:p>
      <w:pPr>
        <w:rPr>
          <w:rFonts w:ascii="Times New Roman" w:hAnsi="Times New Roman"/>
          <w:color w:val="auto"/>
        </w:rPr>
      </w:pPr>
      <w:bookmarkStart w:id="0" w:name="_Toc464159885"/>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sectPr>
          <w:pgSz w:w="11906" w:h="16838"/>
          <w:pgMar w:top="1985" w:right="1474" w:bottom="1985" w:left="1588" w:header="851" w:footer="1418" w:gutter="0"/>
          <w:pgNumType w:fmt="upperRoman" w:start="1"/>
          <w:cols w:space="425" w:num="1"/>
          <w:titlePg/>
          <w:docGrid w:type="lines" w:linePitch="312" w:charSpace="0"/>
        </w:sectPr>
      </w:pPr>
    </w:p>
    <w:p>
      <w:pPr>
        <w:spacing w:line="580" w:lineRule="exact"/>
        <w:rPr>
          <w:rFonts w:ascii="仿宋_GB2312" w:eastAsia="仿宋_GB2312"/>
          <w:color w:val="auto"/>
          <w:sz w:val="32"/>
          <w:szCs w:val="32"/>
        </w:rPr>
      </w:pPr>
      <w:bookmarkStart w:id="1" w:name="_Toc99813089"/>
    </w:p>
    <w:p>
      <w:pPr>
        <w:spacing w:line="58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目</w:t>
      </w:r>
      <w:r>
        <w:rPr>
          <w:rFonts w:ascii="方正小标宋_GBK" w:eastAsia="方正小标宋_GBK"/>
          <w:color w:val="auto"/>
          <w:sz w:val="44"/>
          <w:szCs w:val="44"/>
        </w:rPr>
        <w:t xml:space="preserve">  </w:t>
      </w:r>
      <w:r>
        <w:rPr>
          <w:rFonts w:hint="eastAsia" w:ascii="方正小标宋_GBK" w:eastAsia="方正小标宋_GBK"/>
          <w:color w:val="auto"/>
          <w:sz w:val="44"/>
          <w:szCs w:val="44"/>
        </w:rPr>
        <w:t>录</w:t>
      </w:r>
    </w:p>
    <w:p>
      <w:pPr>
        <w:spacing w:line="580" w:lineRule="exact"/>
        <w:rPr>
          <w:rFonts w:ascii="仿宋_GB2312" w:eastAsia="仿宋_GB2312"/>
          <w:color w:val="auto"/>
          <w:sz w:val="32"/>
          <w:szCs w:val="32"/>
        </w:rPr>
      </w:pPr>
    </w:p>
    <w:p>
      <w:pPr>
        <w:spacing w:line="580" w:lineRule="exact"/>
        <w:rPr>
          <w:rFonts w:ascii="仿宋_GB2312" w:eastAsia="仿宋_GB2312"/>
          <w:color w:val="auto"/>
          <w:sz w:val="32"/>
          <w:szCs w:val="32"/>
        </w:rPr>
      </w:pPr>
      <w:r>
        <w:rPr>
          <w:rFonts w:ascii="仿宋_GB2312" w:eastAsia="仿宋_GB2312"/>
          <w:color w:val="auto"/>
          <w:sz w:val="32"/>
          <w:szCs w:val="32"/>
        </w:rPr>
        <w:fldChar w:fldCharType="begin"/>
      </w:r>
      <w:r>
        <w:rPr>
          <w:rFonts w:ascii="仿宋_GB2312" w:eastAsia="仿宋_GB2312"/>
          <w:color w:val="auto"/>
          <w:sz w:val="32"/>
          <w:szCs w:val="32"/>
        </w:rPr>
        <w:instrText xml:space="preserve"> TOC \o "1-2" \h \z \u </w:instrText>
      </w:r>
      <w:r>
        <w:rPr>
          <w:rFonts w:ascii="仿宋_GB2312" w:eastAsia="仿宋_GB2312"/>
          <w:color w:val="auto"/>
          <w:sz w:val="32"/>
          <w:szCs w:val="32"/>
        </w:rPr>
        <w:fldChar w:fldCharType="separate"/>
      </w:r>
      <w:r>
        <w:rPr>
          <w:color w:val="auto"/>
        </w:rPr>
        <w:fldChar w:fldCharType="begin"/>
      </w:r>
      <w:r>
        <w:rPr>
          <w:color w:val="auto"/>
        </w:rPr>
        <w:instrText xml:space="preserve"> HYPERLINK \l "_Toc99813089" </w:instrText>
      </w:r>
      <w:r>
        <w:rPr>
          <w:color w:val="auto"/>
        </w:rPr>
        <w:fldChar w:fldCharType="separate"/>
      </w:r>
      <w:r>
        <w:rPr>
          <w:rStyle w:val="22"/>
          <w:rFonts w:hint="eastAsia" w:ascii="黑体" w:hAnsi="黑体" w:eastAsia="黑体"/>
          <w:color w:val="auto"/>
          <w:sz w:val="32"/>
          <w:szCs w:val="32"/>
        </w:rPr>
        <w:t>前</w:t>
      </w:r>
      <w:r>
        <w:rPr>
          <w:rStyle w:val="22"/>
          <w:rFonts w:ascii="黑体" w:hAnsi="黑体" w:eastAsia="黑体"/>
          <w:color w:val="auto"/>
          <w:sz w:val="32"/>
          <w:szCs w:val="32"/>
        </w:rPr>
        <w:t xml:space="preserve">  </w:t>
      </w:r>
      <w:r>
        <w:rPr>
          <w:rStyle w:val="22"/>
          <w:rFonts w:hint="eastAsia" w:ascii="黑体" w:hAnsi="黑体" w:eastAsia="黑体"/>
          <w:color w:val="auto"/>
          <w:sz w:val="32"/>
          <w:szCs w:val="32"/>
        </w:rPr>
        <w:t>言</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_Toc99813089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1</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color w:val="auto"/>
        </w:rPr>
        <w:fldChar w:fldCharType="begin"/>
      </w:r>
      <w:r>
        <w:rPr>
          <w:color w:val="auto"/>
        </w:rPr>
        <w:instrText xml:space="preserve"> HYPERLINK \l "_Toc99813090" </w:instrText>
      </w:r>
      <w:r>
        <w:rPr>
          <w:color w:val="auto"/>
        </w:rPr>
        <w:fldChar w:fldCharType="separate"/>
      </w:r>
      <w:r>
        <w:rPr>
          <w:rStyle w:val="22"/>
          <w:rFonts w:hint="eastAsia" w:ascii="黑体" w:hAnsi="黑体" w:eastAsia="黑体"/>
          <w:color w:val="auto"/>
          <w:sz w:val="32"/>
          <w:szCs w:val="32"/>
        </w:rPr>
        <w:t>一、认清发展新形势</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_Toc99813090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2</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"_Toc99813091" </w:instrText>
      </w:r>
      <w:r>
        <w:rPr>
          <w:color w:val="auto"/>
        </w:rPr>
        <w:fldChar w:fldCharType="separate"/>
      </w:r>
      <w:r>
        <w:rPr>
          <w:rStyle w:val="22"/>
          <w:rFonts w:hint="eastAsia" w:ascii="楷体_GB2312" w:eastAsia="楷体_GB2312"/>
          <w:color w:val="auto"/>
          <w:sz w:val="32"/>
          <w:szCs w:val="32"/>
        </w:rPr>
        <w:t>（一）发展基础</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_Toc99813091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2</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"_Toc99813092" </w:instrText>
      </w:r>
      <w:r>
        <w:rPr>
          <w:color w:val="auto"/>
        </w:rPr>
        <w:fldChar w:fldCharType="separate"/>
      </w:r>
      <w:r>
        <w:rPr>
          <w:rStyle w:val="22"/>
          <w:rFonts w:hint="eastAsia" w:ascii="楷体_GB2312" w:eastAsia="楷体_GB2312"/>
          <w:color w:val="auto"/>
          <w:sz w:val="32"/>
          <w:szCs w:val="32"/>
        </w:rPr>
        <w:t>（二）发展形势</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_Toc99813092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3</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color w:val="auto"/>
        </w:rPr>
        <w:fldChar w:fldCharType="begin"/>
      </w:r>
      <w:r>
        <w:rPr>
          <w:color w:val="auto"/>
        </w:rPr>
        <w:instrText xml:space="preserve"> HYPERLINK \l "_Toc99813093" </w:instrText>
      </w:r>
      <w:r>
        <w:rPr>
          <w:color w:val="auto"/>
        </w:rPr>
        <w:fldChar w:fldCharType="separate"/>
      </w:r>
      <w:r>
        <w:rPr>
          <w:rStyle w:val="22"/>
          <w:rFonts w:hint="eastAsia" w:ascii="黑体" w:hAnsi="黑体" w:eastAsia="黑体"/>
          <w:color w:val="auto"/>
          <w:sz w:val="32"/>
          <w:szCs w:val="32"/>
        </w:rPr>
        <w:t>二、树立发展新目标</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_Toc99813093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6</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"_Toc99813094" </w:instrText>
      </w:r>
      <w:r>
        <w:rPr>
          <w:color w:val="auto"/>
        </w:rPr>
        <w:fldChar w:fldCharType="separate"/>
      </w:r>
      <w:r>
        <w:rPr>
          <w:rStyle w:val="22"/>
          <w:rFonts w:hint="eastAsia" w:ascii="楷体_GB2312" w:eastAsia="楷体_GB2312"/>
          <w:color w:val="auto"/>
          <w:sz w:val="32"/>
          <w:szCs w:val="32"/>
        </w:rPr>
        <w:t>（一）指导思想</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_Toc99813094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6</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"_Toc99813095" </w:instrText>
      </w:r>
      <w:r>
        <w:rPr>
          <w:color w:val="auto"/>
        </w:rPr>
        <w:fldChar w:fldCharType="separate"/>
      </w:r>
      <w:r>
        <w:rPr>
          <w:rStyle w:val="22"/>
          <w:rFonts w:hint="eastAsia" w:ascii="楷体_GB2312" w:eastAsia="楷体_GB2312"/>
          <w:color w:val="auto"/>
          <w:sz w:val="32"/>
          <w:szCs w:val="32"/>
        </w:rPr>
        <w:t>（二）基本原则</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_Toc99813095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6</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"_Toc99813096" </w:instrText>
      </w:r>
      <w:r>
        <w:rPr>
          <w:color w:val="auto"/>
        </w:rPr>
        <w:fldChar w:fldCharType="separate"/>
      </w:r>
      <w:r>
        <w:rPr>
          <w:rStyle w:val="22"/>
          <w:rFonts w:hint="eastAsia" w:ascii="楷体_GB2312" w:eastAsia="楷体_GB2312"/>
          <w:color w:val="auto"/>
          <w:sz w:val="32"/>
          <w:szCs w:val="32"/>
        </w:rPr>
        <w:t>（三）发展目标</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_Toc99813096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7</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color w:val="auto"/>
        </w:rPr>
        <w:fldChar w:fldCharType="begin"/>
      </w:r>
      <w:r>
        <w:rPr>
          <w:color w:val="auto"/>
        </w:rPr>
        <w:instrText xml:space="preserve"> HYPERLINK \l "_Toc99813097" </w:instrText>
      </w:r>
      <w:r>
        <w:rPr>
          <w:color w:val="auto"/>
        </w:rPr>
        <w:fldChar w:fldCharType="separate"/>
      </w:r>
      <w:r>
        <w:rPr>
          <w:rStyle w:val="22"/>
          <w:rFonts w:hint="eastAsia" w:ascii="黑体" w:hAnsi="黑体" w:eastAsia="黑体"/>
          <w:color w:val="auto"/>
          <w:sz w:val="32"/>
          <w:szCs w:val="32"/>
        </w:rPr>
        <w:t>三、构建产业新体系</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_Toc99813097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9</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"_Toc99813098" </w:instrText>
      </w:r>
      <w:r>
        <w:rPr>
          <w:color w:val="auto"/>
        </w:rPr>
        <w:fldChar w:fldCharType="separate"/>
      </w:r>
      <w:r>
        <w:rPr>
          <w:rStyle w:val="22"/>
          <w:rFonts w:hint="eastAsia" w:ascii="楷体_GB2312" w:eastAsia="楷体_GB2312"/>
          <w:color w:val="auto"/>
          <w:sz w:val="32"/>
          <w:szCs w:val="32"/>
        </w:rPr>
        <w:t>（一）大力发展支柱型服务业</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_Toc99813098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10</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"_Toc99813099" </w:instrText>
      </w:r>
      <w:r>
        <w:rPr>
          <w:color w:val="auto"/>
        </w:rPr>
        <w:fldChar w:fldCharType="separate"/>
      </w:r>
      <w:r>
        <w:rPr>
          <w:rStyle w:val="22"/>
          <w:rFonts w:hint="eastAsia" w:ascii="楷体_GB2312" w:eastAsia="楷体_GB2312"/>
          <w:color w:val="auto"/>
          <w:sz w:val="32"/>
          <w:szCs w:val="32"/>
        </w:rPr>
        <w:t>（二）培育壮大成长型服务业</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_Toc99813099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20</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"_Toc99813100" </w:instrText>
      </w:r>
      <w:r>
        <w:rPr>
          <w:color w:val="auto"/>
        </w:rPr>
        <w:fldChar w:fldCharType="separate"/>
      </w:r>
      <w:r>
        <w:rPr>
          <w:rStyle w:val="22"/>
          <w:rFonts w:hint="eastAsia" w:ascii="楷体_GB2312" w:eastAsia="楷体_GB2312"/>
          <w:color w:val="auto"/>
          <w:sz w:val="32"/>
          <w:szCs w:val="32"/>
        </w:rPr>
        <w:t>（三）优化提升基础型服务业</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_Toc99813100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32</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color w:val="auto"/>
        </w:rPr>
        <w:fldChar w:fldCharType="begin"/>
      </w:r>
      <w:r>
        <w:rPr>
          <w:color w:val="auto"/>
        </w:rPr>
        <w:instrText xml:space="preserve"> HYPERLINK \l "_Toc99813101" </w:instrText>
      </w:r>
      <w:r>
        <w:rPr>
          <w:color w:val="auto"/>
        </w:rPr>
        <w:fldChar w:fldCharType="separate"/>
      </w:r>
      <w:r>
        <w:rPr>
          <w:rStyle w:val="22"/>
          <w:rFonts w:hint="eastAsia" w:ascii="黑体" w:hAnsi="黑体" w:eastAsia="黑体"/>
          <w:color w:val="auto"/>
          <w:sz w:val="32"/>
          <w:szCs w:val="32"/>
        </w:rPr>
        <w:t>四、优化空间新格局</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_Toc99813101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40</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"_Toc99813102" </w:instrText>
      </w:r>
      <w:r>
        <w:rPr>
          <w:color w:val="auto"/>
        </w:rPr>
        <w:fldChar w:fldCharType="separate"/>
      </w:r>
      <w:r>
        <w:rPr>
          <w:rStyle w:val="22"/>
          <w:rFonts w:hint="eastAsia" w:ascii="楷体_GB2312" w:eastAsia="楷体_GB2312"/>
          <w:color w:val="auto"/>
          <w:sz w:val="32"/>
          <w:szCs w:val="32"/>
        </w:rPr>
        <w:t>（一）一核引领</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_Toc99813102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43</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"_Toc99813103" </w:instrText>
      </w:r>
      <w:r>
        <w:rPr>
          <w:color w:val="auto"/>
        </w:rPr>
        <w:fldChar w:fldCharType="separate"/>
      </w:r>
      <w:r>
        <w:rPr>
          <w:rStyle w:val="22"/>
          <w:rFonts w:hint="eastAsia" w:ascii="楷体_GB2312" w:eastAsia="楷体_GB2312"/>
          <w:color w:val="auto"/>
          <w:sz w:val="32"/>
          <w:szCs w:val="32"/>
        </w:rPr>
        <w:t>（二）两轴联动</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_Toc99813103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44</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"_Toc99813104" </w:instrText>
      </w:r>
      <w:r>
        <w:rPr>
          <w:color w:val="auto"/>
        </w:rPr>
        <w:fldChar w:fldCharType="separate"/>
      </w:r>
      <w:r>
        <w:rPr>
          <w:rStyle w:val="22"/>
          <w:rFonts w:hint="eastAsia" w:ascii="楷体_GB2312" w:eastAsia="楷体_GB2312"/>
          <w:color w:val="auto"/>
          <w:sz w:val="32"/>
          <w:szCs w:val="32"/>
        </w:rPr>
        <w:t>（三）四区协同</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_Toc99813104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45</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"_Toc99813105" </w:instrText>
      </w:r>
      <w:r>
        <w:rPr>
          <w:color w:val="auto"/>
        </w:rPr>
        <w:fldChar w:fldCharType="separate"/>
      </w:r>
      <w:r>
        <w:rPr>
          <w:rStyle w:val="22"/>
          <w:rFonts w:hint="eastAsia" w:ascii="楷体_GB2312" w:eastAsia="楷体_GB2312"/>
          <w:color w:val="auto"/>
          <w:sz w:val="32"/>
          <w:szCs w:val="32"/>
        </w:rPr>
        <w:t>（四）多点支撑</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_Toc99813105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46</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color w:val="auto"/>
        </w:rPr>
        <w:fldChar w:fldCharType="begin"/>
      </w:r>
      <w:r>
        <w:rPr>
          <w:color w:val="auto"/>
        </w:rPr>
        <w:instrText xml:space="preserve"> HYPERLINK \l "_Toc99813106" </w:instrText>
      </w:r>
      <w:r>
        <w:rPr>
          <w:color w:val="auto"/>
        </w:rPr>
        <w:fldChar w:fldCharType="separate"/>
      </w:r>
      <w:r>
        <w:rPr>
          <w:rStyle w:val="22"/>
          <w:rFonts w:hint="eastAsia" w:ascii="黑体" w:hAnsi="黑体" w:eastAsia="黑体"/>
          <w:color w:val="auto"/>
          <w:sz w:val="32"/>
          <w:szCs w:val="32"/>
        </w:rPr>
        <w:t>五、实施重点新工程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_Toc99813106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47</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"_Toc99813107" </w:instrText>
      </w:r>
      <w:r>
        <w:rPr>
          <w:color w:val="auto"/>
        </w:rPr>
        <w:fldChar w:fldCharType="separate"/>
      </w:r>
      <w:r>
        <w:rPr>
          <w:rStyle w:val="22"/>
          <w:rFonts w:hint="eastAsia" w:ascii="楷体_GB2312" w:eastAsia="楷体_GB2312"/>
          <w:color w:val="auto"/>
          <w:sz w:val="32"/>
          <w:szCs w:val="32"/>
        </w:rPr>
        <w:t>（一）产业融合工程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_Toc99813107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47</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"_Toc99813108" </w:instrText>
      </w:r>
      <w:r>
        <w:rPr>
          <w:color w:val="auto"/>
        </w:rPr>
        <w:fldChar w:fldCharType="separate"/>
      </w:r>
      <w:r>
        <w:rPr>
          <w:rStyle w:val="22"/>
          <w:rFonts w:hint="eastAsia" w:ascii="楷体_GB2312" w:eastAsia="楷体_GB2312"/>
          <w:color w:val="auto"/>
          <w:sz w:val="32"/>
          <w:szCs w:val="32"/>
        </w:rPr>
        <w:t>（二）数字赋能工程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_Toc99813108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48</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"_Toc99813109" </w:instrText>
      </w:r>
      <w:r>
        <w:rPr>
          <w:color w:val="auto"/>
        </w:rPr>
        <w:fldChar w:fldCharType="separate"/>
      </w:r>
      <w:r>
        <w:rPr>
          <w:rStyle w:val="22"/>
          <w:rFonts w:hint="eastAsia" w:ascii="楷体_GB2312" w:eastAsia="楷体_GB2312"/>
          <w:color w:val="auto"/>
          <w:sz w:val="32"/>
          <w:szCs w:val="32"/>
        </w:rPr>
        <w:t>（三）重大载体工程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_Toc99813109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51</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"_Toc99813110" </w:instrText>
      </w:r>
      <w:r>
        <w:rPr>
          <w:color w:val="auto"/>
        </w:rPr>
        <w:fldChar w:fldCharType="separate"/>
      </w:r>
      <w:r>
        <w:rPr>
          <w:rStyle w:val="22"/>
          <w:rFonts w:hint="eastAsia" w:ascii="楷体_GB2312" w:eastAsia="楷体_GB2312"/>
          <w:color w:val="auto"/>
          <w:sz w:val="32"/>
          <w:szCs w:val="32"/>
        </w:rPr>
        <w:t>（四）消费升级工程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_Toc99813110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53</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"_Toc99813111" </w:instrText>
      </w:r>
      <w:r>
        <w:rPr>
          <w:color w:val="auto"/>
        </w:rPr>
        <w:fldChar w:fldCharType="separate"/>
      </w:r>
      <w:r>
        <w:rPr>
          <w:rStyle w:val="22"/>
          <w:rFonts w:hint="eastAsia" w:ascii="楷体_GB2312" w:eastAsia="楷体_GB2312"/>
          <w:color w:val="auto"/>
          <w:sz w:val="32"/>
          <w:szCs w:val="32"/>
        </w:rPr>
        <w:t>（五）质量品牌工程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_Toc99813111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55</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"_Toc99813112" </w:instrText>
      </w:r>
      <w:r>
        <w:rPr>
          <w:color w:val="auto"/>
        </w:rPr>
        <w:fldChar w:fldCharType="separate"/>
      </w:r>
      <w:r>
        <w:rPr>
          <w:rStyle w:val="22"/>
          <w:rFonts w:hint="eastAsia" w:ascii="楷体_GB2312" w:eastAsia="楷体_GB2312"/>
          <w:color w:val="auto"/>
          <w:sz w:val="32"/>
          <w:szCs w:val="32"/>
        </w:rPr>
        <w:t>（六）改革开放工程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_Toc99813112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56</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color w:val="auto"/>
        </w:rPr>
        <w:fldChar w:fldCharType="begin"/>
      </w:r>
      <w:r>
        <w:rPr>
          <w:color w:val="auto"/>
        </w:rPr>
        <w:instrText xml:space="preserve"> HYPERLINK \l "_Toc99813113" </w:instrText>
      </w:r>
      <w:r>
        <w:rPr>
          <w:color w:val="auto"/>
        </w:rPr>
        <w:fldChar w:fldCharType="separate"/>
      </w:r>
      <w:r>
        <w:rPr>
          <w:rStyle w:val="22"/>
          <w:rFonts w:hint="eastAsia" w:ascii="黑体" w:hAnsi="黑体" w:eastAsia="黑体"/>
          <w:color w:val="auto"/>
          <w:sz w:val="32"/>
          <w:szCs w:val="32"/>
        </w:rPr>
        <w:t>六、建立保障新机制</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_Toc99813113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59</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"_Toc99813114" </w:instrText>
      </w:r>
      <w:r>
        <w:rPr>
          <w:color w:val="auto"/>
        </w:rPr>
        <w:fldChar w:fldCharType="separate"/>
      </w:r>
      <w:r>
        <w:rPr>
          <w:rStyle w:val="22"/>
          <w:rFonts w:hint="eastAsia" w:ascii="楷体_GB2312" w:eastAsia="楷体_GB2312"/>
          <w:color w:val="auto"/>
          <w:sz w:val="32"/>
          <w:szCs w:val="32"/>
        </w:rPr>
        <w:t>（一）健全组织管理</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_Toc99813114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59</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"_Toc99813115" </w:instrText>
      </w:r>
      <w:r>
        <w:rPr>
          <w:color w:val="auto"/>
        </w:rPr>
        <w:fldChar w:fldCharType="separate"/>
      </w:r>
      <w:r>
        <w:rPr>
          <w:rStyle w:val="22"/>
          <w:rFonts w:hint="eastAsia" w:ascii="楷体_GB2312" w:eastAsia="楷体_GB2312"/>
          <w:color w:val="auto"/>
          <w:sz w:val="32"/>
          <w:szCs w:val="32"/>
        </w:rPr>
        <w:t>（二）强化要素支撑</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_Toc99813115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59</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"_Toc99813116" </w:instrText>
      </w:r>
      <w:r>
        <w:rPr>
          <w:color w:val="auto"/>
        </w:rPr>
        <w:fldChar w:fldCharType="separate"/>
      </w:r>
      <w:r>
        <w:rPr>
          <w:rStyle w:val="22"/>
          <w:rFonts w:hint="eastAsia" w:ascii="楷体_GB2312" w:eastAsia="楷体_GB2312"/>
          <w:color w:val="auto"/>
          <w:sz w:val="32"/>
          <w:szCs w:val="32"/>
        </w:rPr>
        <w:t>（三）优化营商环境</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_Toc99813116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60</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pPr>
      <w:r>
        <w:rPr>
          <w:rFonts w:ascii="仿宋_GB2312" w:eastAsia="仿宋_GB2312"/>
          <w:color w:val="auto"/>
          <w:sz w:val="32"/>
          <w:szCs w:val="32"/>
        </w:rPr>
        <w:t xml:space="preserve">    </w:t>
      </w:r>
      <w:r>
        <w:rPr>
          <w:color w:val="auto"/>
        </w:rPr>
        <w:fldChar w:fldCharType="begin"/>
      </w:r>
      <w:r>
        <w:rPr>
          <w:color w:val="auto"/>
        </w:rPr>
        <w:instrText xml:space="preserve"> HYPERLINK \l "_Toc99813117" </w:instrText>
      </w:r>
      <w:r>
        <w:rPr>
          <w:color w:val="auto"/>
        </w:rPr>
        <w:fldChar w:fldCharType="separate"/>
      </w:r>
      <w:r>
        <w:rPr>
          <w:rStyle w:val="22"/>
          <w:rFonts w:hint="eastAsia" w:ascii="楷体_GB2312" w:eastAsia="楷体_GB2312"/>
          <w:color w:val="auto"/>
          <w:sz w:val="32"/>
          <w:szCs w:val="32"/>
        </w:rPr>
        <w:t>（四）完善统计监测</w:t>
      </w:r>
      <w:r>
        <w:rPr>
          <w:rStyle w:val="22"/>
          <w:rFonts w:hint="eastAsia" w:ascii="仿宋_GB2312" w:eastAsia="仿宋_GB2312"/>
          <w:color w:val="auto"/>
          <w:sz w:val="32"/>
          <w:szCs w:val="32"/>
        </w:rPr>
        <w:t>…………………………………………</w:t>
      </w:r>
      <w:r>
        <w:rPr>
          <w:rStyle w:val="22"/>
          <w:rFonts w:ascii="仿宋_GB2312" w:eastAsia="仿宋_GB2312"/>
          <w:color w:val="auto"/>
          <w:sz w:val="32"/>
          <w:szCs w:val="32"/>
        </w:rPr>
        <w:fldChar w:fldCharType="begin"/>
      </w:r>
      <w:r>
        <w:rPr>
          <w:rStyle w:val="22"/>
          <w:rFonts w:ascii="仿宋_GB2312" w:eastAsia="仿宋_GB2312"/>
          <w:color w:val="auto"/>
          <w:sz w:val="32"/>
          <w:szCs w:val="32"/>
        </w:rPr>
        <w:instrText xml:space="preserve"> PAGEREF _Toc99813117 \h </w:instrText>
      </w:r>
      <w:r>
        <w:rPr>
          <w:rStyle w:val="22"/>
          <w:rFonts w:ascii="仿宋_GB2312" w:eastAsia="仿宋_GB2312"/>
          <w:color w:val="auto"/>
          <w:sz w:val="32"/>
          <w:szCs w:val="32"/>
        </w:rPr>
        <w:fldChar w:fldCharType="separate"/>
      </w:r>
      <w:r>
        <w:rPr>
          <w:rStyle w:val="22"/>
          <w:rFonts w:ascii="仿宋_GB2312" w:eastAsia="仿宋_GB2312"/>
          <w:color w:val="auto"/>
          <w:sz w:val="32"/>
          <w:szCs w:val="32"/>
        </w:rPr>
        <w:t>60</w:t>
      </w:r>
      <w:r>
        <w:rPr>
          <w:rStyle w:val="22"/>
          <w:rFonts w:ascii="仿宋_GB2312" w:eastAsia="仿宋_GB2312"/>
          <w:color w:val="auto"/>
          <w:sz w:val="32"/>
          <w:szCs w:val="32"/>
        </w:rPr>
        <w:fldChar w:fldCharType="end"/>
      </w:r>
      <w:r>
        <w:rPr>
          <w:rStyle w:val="22"/>
          <w:rFonts w:ascii="仿宋_GB2312" w:eastAsia="仿宋_GB2312"/>
          <w:color w:val="auto"/>
          <w:sz w:val="32"/>
          <w:szCs w:val="32"/>
        </w:rPr>
        <w:fldChar w:fldCharType="end"/>
      </w:r>
    </w:p>
    <w:p>
      <w:pPr>
        <w:spacing w:line="580" w:lineRule="exact"/>
        <w:rPr>
          <w:rFonts w:ascii="仿宋_GB2312" w:eastAsia="仿宋_GB2312"/>
          <w:color w:val="auto"/>
          <w:sz w:val="32"/>
          <w:szCs w:val="32"/>
        </w:rPr>
        <w:sectPr>
          <w:pgSz w:w="11906" w:h="16838"/>
          <w:pgMar w:top="1985" w:right="1474" w:bottom="1985" w:left="1588" w:header="851" w:footer="1418" w:gutter="0"/>
          <w:pgNumType w:start="1"/>
          <w:cols w:space="425" w:num="1"/>
          <w:docGrid w:type="lines" w:linePitch="312" w:charSpace="0"/>
        </w:sectPr>
      </w:pPr>
      <w:r>
        <w:rPr>
          <w:rFonts w:ascii="仿宋_GB2312" w:eastAsia="仿宋_GB2312"/>
          <w:color w:val="auto"/>
          <w:sz w:val="32"/>
          <w:szCs w:val="32"/>
        </w:rPr>
        <w:fldChar w:fldCharType="end"/>
      </w:r>
    </w:p>
    <w:p>
      <w:pPr>
        <w:rPr>
          <w:color w:val="auto"/>
        </w:rPr>
      </w:pPr>
    </w:p>
    <w:p>
      <w:pPr>
        <w:pStyle w:val="14"/>
        <w:spacing w:before="0" w:after="0" w:line="580" w:lineRule="exact"/>
        <w:rPr>
          <w:rFonts w:ascii="方正小标宋_GBK" w:hAnsi="Times New Roman" w:eastAsia="方正小标宋_GBK"/>
          <w:b w:val="0"/>
          <w:bCs w:val="0"/>
          <w:color w:val="auto"/>
          <w:sz w:val="44"/>
          <w:szCs w:val="44"/>
        </w:rPr>
      </w:pPr>
      <w:r>
        <w:rPr>
          <w:rFonts w:hint="eastAsia" w:ascii="方正小标宋_GBK" w:hAnsi="Times New Roman" w:eastAsia="方正小标宋_GBK"/>
          <w:b w:val="0"/>
          <w:bCs w:val="0"/>
          <w:color w:val="auto"/>
          <w:sz w:val="44"/>
          <w:szCs w:val="44"/>
        </w:rPr>
        <w:t>前</w:t>
      </w:r>
      <w:r>
        <w:rPr>
          <w:rFonts w:ascii="方正小标宋_GBK" w:hAnsi="Times New Roman" w:eastAsia="方正小标宋_GBK"/>
          <w:b w:val="0"/>
          <w:bCs w:val="0"/>
          <w:color w:val="auto"/>
          <w:sz w:val="44"/>
          <w:szCs w:val="44"/>
        </w:rPr>
        <w:t xml:space="preserve">    </w:t>
      </w:r>
      <w:r>
        <w:rPr>
          <w:rFonts w:hint="eastAsia" w:ascii="方正小标宋_GBK" w:hAnsi="Times New Roman" w:eastAsia="方正小标宋_GBK"/>
          <w:b w:val="0"/>
          <w:bCs w:val="0"/>
          <w:color w:val="auto"/>
          <w:sz w:val="44"/>
          <w:szCs w:val="44"/>
        </w:rPr>
        <w:t>言</w:t>
      </w:r>
      <w:bookmarkEnd w:id="0"/>
      <w:bookmarkEnd w:id="1"/>
    </w:p>
    <w:p>
      <w:pPr>
        <w:rPr>
          <w:color w:val="auto"/>
        </w:rPr>
      </w:pP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快发展现代服务业，是安阳市优化产业结构、加速经济高质量发展的动力引擎，对于全面提升安阳区域中心城市规模能级、建成新时代区域中心强市具有重要意义。“十四五”时期更是安阳市把握京津冀协同发展、黄河流域生态保护和高质量发展、促进中部地区崛起等国家战略叠加</w:t>
      </w:r>
      <w:bookmarkStart w:id="2" w:name="_Hlk49326947"/>
      <w:r>
        <w:rPr>
          <w:rFonts w:hint="eastAsia" w:ascii="仿宋_GB2312" w:hAnsi="方正仿宋_GBK" w:eastAsia="仿宋_GB2312" w:cs="方正仿宋_GBK"/>
          <w:color w:val="auto"/>
          <w:sz w:val="32"/>
          <w:szCs w:val="32"/>
        </w:rPr>
        <w:t>的关键时期</w:t>
      </w:r>
      <w:bookmarkEnd w:id="2"/>
      <w:r>
        <w:rPr>
          <w:rFonts w:hint="eastAsia" w:ascii="仿宋_GB2312" w:hAnsi="方正仿宋_GBK" w:eastAsia="仿宋_GB2312" w:cs="方正仿宋_GBK"/>
          <w:color w:val="auto"/>
          <w:sz w:val="32"/>
          <w:szCs w:val="32"/>
        </w:rPr>
        <w:t>，也是提升产业竞争力、构建发展新动能的重要时期。为指导“十四五”时期安阳市现代服务业的发展，根据《国家发展改革委</w:t>
      </w:r>
      <w:r>
        <w:rPr>
          <w:rFonts w:ascii="仿宋_GB2312" w:hAnsi="方正仿宋_GBK" w:eastAsia="仿宋_GB2312" w:cs="方正仿宋_GBK"/>
          <w:color w:val="auto"/>
          <w:sz w:val="32"/>
          <w:szCs w:val="32"/>
        </w:rPr>
        <w:t xml:space="preserve"> </w:t>
      </w:r>
      <w:r>
        <w:rPr>
          <w:rFonts w:hint="eastAsia" w:ascii="仿宋_GB2312" w:hAnsi="方正仿宋_GBK" w:eastAsia="仿宋_GB2312" w:cs="方正仿宋_GBK"/>
          <w:color w:val="auto"/>
          <w:sz w:val="32"/>
          <w:szCs w:val="32"/>
        </w:rPr>
        <w:t>市场监管总局关于新时代服务业高质量发展的指导意见》《河南省“十四五”现代服务业发展规划》《安阳市国民经济和社会发展第十四个五年规划纲要和</w:t>
      </w:r>
      <w:r>
        <w:rPr>
          <w:rFonts w:ascii="仿宋_GB2312" w:hAnsi="方正仿宋_GBK" w:eastAsia="仿宋_GB2312" w:cs="方正仿宋_GBK"/>
          <w:color w:val="auto"/>
          <w:sz w:val="32"/>
          <w:szCs w:val="32"/>
        </w:rPr>
        <w:t>2035</w:t>
      </w:r>
      <w:r>
        <w:rPr>
          <w:rFonts w:hint="eastAsia" w:ascii="仿宋_GB2312" w:hAnsi="方正仿宋_GBK" w:eastAsia="仿宋_GB2312" w:cs="方正仿宋_GBK"/>
          <w:color w:val="auto"/>
          <w:sz w:val="32"/>
          <w:szCs w:val="32"/>
        </w:rPr>
        <w:t>年远景目标纲要》等文件精神，结合安阳实际，编制本规划。</w:t>
      </w:r>
    </w:p>
    <w:p>
      <w:pPr>
        <w:spacing w:line="580" w:lineRule="exact"/>
        <w:ind w:firstLine="640" w:firstLineChars="200"/>
        <w:jc w:val="left"/>
        <w:rPr>
          <w:rFonts w:ascii="黑体" w:hAnsi="黑体" w:eastAsia="黑体"/>
          <w:color w:val="auto"/>
          <w:sz w:val="32"/>
          <w:szCs w:val="32"/>
        </w:rPr>
      </w:pPr>
      <w:r>
        <w:rPr>
          <w:rFonts w:ascii="仿宋_GB2312" w:hAnsi="黑体" w:eastAsia="仿宋_GB2312"/>
          <w:color w:val="auto"/>
          <w:sz w:val="32"/>
          <w:szCs w:val="32"/>
        </w:rPr>
        <w:br w:type="page"/>
      </w:r>
      <w:bookmarkStart w:id="3" w:name="_Toc99813090"/>
      <w:r>
        <w:rPr>
          <w:rFonts w:hint="eastAsia" w:ascii="黑体" w:hAnsi="黑体" w:eastAsia="黑体"/>
          <w:color w:val="auto"/>
          <w:sz w:val="32"/>
          <w:szCs w:val="32"/>
        </w:rPr>
        <w:t>一、认清发展新形势</w:t>
      </w:r>
      <w:bookmarkEnd w:id="3"/>
    </w:p>
    <w:p>
      <w:pPr>
        <w:pStyle w:val="3"/>
        <w:spacing w:line="580" w:lineRule="exact"/>
        <w:ind w:firstLine="640" w:firstLineChars="200"/>
        <w:rPr>
          <w:rFonts w:ascii="楷体_GB2312" w:eastAsia="楷体_GB2312"/>
          <w:color w:val="auto"/>
        </w:rPr>
      </w:pPr>
      <w:bookmarkStart w:id="4" w:name="_Toc99813091"/>
      <w:r>
        <w:rPr>
          <w:rFonts w:hint="eastAsia" w:ascii="楷体_GB2312" w:eastAsia="楷体_GB2312"/>
          <w:color w:val="auto"/>
        </w:rPr>
        <w:t>（一）发展基础</w:t>
      </w:r>
      <w:bookmarkEnd w:id="4"/>
    </w:p>
    <w:p>
      <w:pPr>
        <w:spacing w:line="580" w:lineRule="exact"/>
        <w:ind w:firstLine="640" w:firstLineChars="200"/>
        <w:rPr>
          <w:rFonts w:ascii="仿宋_GB2312" w:hAnsi="方正仿宋_GBK" w:eastAsia="仿宋_GB2312" w:cs="方正仿宋_GBK"/>
          <w:bCs/>
          <w:color w:val="auto"/>
          <w:sz w:val="32"/>
          <w:szCs w:val="32"/>
        </w:rPr>
      </w:pPr>
      <w:r>
        <w:rPr>
          <w:rFonts w:hint="eastAsia" w:ascii="仿宋_GB2312" w:hAnsi="方正仿宋_GBK" w:eastAsia="仿宋_GB2312" w:cs="方正仿宋_GBK"/>
          <w:bCs/>
          <w:color w:val="auto"/>
          <w:sz w:val="32"/>
          <w:szCs w:val="32"/>
        </w:rPr>
        <w:t>“十三五”期间，我市服务业规模持续扩大，新兴服务业蓬勃兴起，平台建设成效显著，发展质效不断提升，改革开放成果丰硕，有力推动了产业转型和消费升级，为全市经济社会高质量发展提供了有力支撑。</w:t>
      </w:r>
    </w:p>
    <w:p>
      <w:pPr>
        <w:shd w:val="clear" w:color="auto" w:fill="FFFFFF"/>
        <w:spacing w:line="580" w:lineRule="exact"/>
        <w:ind w:firstLine="643" w:firstLineChars="200"/>
        <w:rPr>
          <w:rFonts w:ascii="仿宋_GB2312" w:hAnsi="Times New Roman" w:eastAsia="仿宋_GB2312"/>
          <w:bCs/>
          <w:color w:val="auto"/>
          <w:szCs w:val="21"/>
        </w:rPr>
      </w:pPr>
      <w:r>
        <w:rPr>
          <w:rFonts w:ascii="仿宋_GB2312" w:hAnsi="方正仿宋_GBK" w:eastAsia="仿宋_GB2312" w:cs="方正仿宋_GBK"/>
          <w:b/>
          <w:bCs/>
          <w:color w:val="auto"/>
          <w:kern w:val="0"/>
          <w:sz w:val="32"/>
          <w:szCs w:val="28"/>
        </w:rPr>
        <w:t>——</w:t>
      </w:r>
      <w:r>
        <w:rPr>
          <w:rFonts w:hint="eastAsia" w:ascii="仿宋_GB2312" w:hAnsi="方正仿宋_GBK" w:eastAsia="仿宋_GB2312" w:cs="方正仿宋_GBK"/>
          <w:b/>
          <w:bCs/>
          <w:color w:val="auto"/>
          <w:kern w:val="0"/>
          <w:sz w:val="32"/>
          <w:szCs w:val="28"/>
        </w:rPr>
        <w:t>产业规模不断扩大，发展贡献进一步增强。</w:t>
      </w:r>
      <w:bookmarkStart w:id="5" w:name="_Hlk34814767"/>
      <w:r>
        <w:rPr>
          <w:rFonts w:hint="eastAsia" w:ascii="仿宋_GB2312" w:hAnsi="方正仿宋_GBK" w:eastAsia="仿宋_GB2312" w:cs="方正仿宋_GBK"/>
          <w:color w:val="auto"/>
          <w:sz w:val="32"/>
          <w:szCs w:val="28"/>
        </w:rPr>
        <w:t>“十三五”期间，安阳服务业</w:t>
      </w:r>
      <w:bookmarkStart w:id="6" w:name="_Hlk36719788"/>
      <w:r>
        <w:rPr>
          <w:rFonts w:hint="eastAsia" w:ascii="仿宋_GB2312" w:hAnsi="方正仿宋_GBK" w:eastAsia="仿宋_GB2312" w:cs="方正仿宋_GBK"/>
          <w:color w:val="auto"/>
          <w:sz w:val="32"/>
          <w:szCs w:val="28"/>
        </w:rPr>
        <w:t>增加值</w:t>
      </w:r>
      <w:bookmarkEnd w:id="6"/>
      <w:r>
        <w:rPr>
          <w:rFonts w:hint="eastAsia" w:ascii="仿宋_GB2312" w:hAnsi="方正仿宋_GBK" w:eastAsia="仿宋_GB2312" w:cs="方正仿宋_GBK"/>
          <w:color w:val="auto"/>
          <w:sz w:val="32"/>
          <w:szCs w:val="28"/>
        </w:rPr>
        <w:t>由</w:t>
      </w:r>
      <w:r>
        <w:rPr>
          <w:rFonts w:ascii="仿宋_GB2312" w:hAnsi="方正仿宋_GBK" w:eastAsia="仿宋_GB2312" w:cs="方正仿宋_GBK"/>
          <w:color w:val="auto"/>
          <w:sz w:val="32"/>
          <w:szCs w:val="28"/>
        </w:rPr>
        <w:t>2015</w:t>
      </w:r>
      <w:r>
        <w:rPr>
          <w:rFonts w:hint="eastAsia" w:ascii="仿宋_GB2312" w:hAnsi="方正仿宋_GBK" w:eastAsia="仿宋_GB2312" w:cs="方正仿宋_GBK"/>
          <w:color w:val="auto"/>
          <w:sz w:val="32"/>
          <w:szCs w:val="28"/>
        </w:rPr>
        <w:t>年的</w:t>
      </w:r>
      <w:r>
        <w:rPr>
          <w:rFonts w:ascii="仿宋_GB2312" w:hAnsi="方正仿宋_GBK" w:eastAsia="仿宋_GB2312" w:cs="方正仿宋_GBK"/>
          <w:color w:val="auto"/>
          <w:sz w:val="32"/>
          <w:szCs w:val="28"/>
        </w:rPr>
        <w:t>634.3</w:t>
      </w:r>
      <w:r>
        <w:rPr>
          <w:rFonts w:hint="eastAsia" w:ascii="仿宋_GB2312" w:hAnsi="方正仿宋_GBK" w:eastAsia="仿宋_GB2312" w:cs="方正仿宋_GBK"/>
          <w:color w:val="auto"/>
          <w:sz w:val="32"/>
          <w:szCs w:val="28"/>
        </w:rPr>
        <w:t>亿元增加到</w:t>
      </w:r>
      <w:r>
        <w:rPr>
          <w:rFonts w:ascii="仿宋_GB2312" w:hAnsi="方正仿宋_GBK" w:eastAsia="仿宋_GB2312" w:cs="方正仿宋_GBK"/>
          <w:color w:val="auto"/>
          <w:sz w:val="32"/>
          <w:szCs w:val="28"/>
        </w:rPr>
        <w:t>2020</w:t>
      </w:r>
      <w:r>
        <w:rPr>
          <w:rFonts w:hint="eastAsia" w:ascii="仿宋_GB2312" w:hAnsi="方正仿宋_GBK" w:eastAsia="仿宋_GB2312" w:cs="方正仿宋_GBK"/>
          <w:color w:val="auto"/>
          <w:sz w:val="32"/>
          <w:szCs w:val="28"/>
        </w:rPr>
        <w:t>年的</w:t>
      </w:r>
      <w:r>
        <w:rPr>
          <w:rFonts w:ascii="仿宋_GB2312" w:hAnsi="方正仿宋_GBK" w:eastAsia="仿宋_GB2312" w:cs="方正仿宋_GBK"/>
          <w:color w:val="auto"/>
          <w:sz w:val="32"/>
          <w:szCs w:val="28"/>
        </w:rPr>
        <w:t>1052.9</w:t>
      </w:r>
      <w:r>
        <w:rPr>
          <w:rFonts w:hint="eastAsia" w:ascii="仿宋_GB2312" w:hAnsi="方正仿宋_GBK" w:eastAsia="仿宋_GB2312" w:cs="方正仿宋_GBK"/>
          <w:color w:val="auto"/>
          <w:sz w:val="32"/>
          <w:szCs w:val="28"/>
        </w:rPr>
        <w:t>亿元</w:t>
      </w:r>
      <w:bookmarkStart w:id="7" w:name="_Hlk34813266"/>
      <w:r>
        <w:rPr>
          <w:rFonts w:hint="eastAsia" w:ascii="仿宋_GB2312" w:hAnsi="方正仿宋_GBK" w:eastAsia="仿宋_GB2312" w:cs="方正仿宋_GBK"/>
          <w:color w:val="auto"/>
          <w:sz w:val="32"/>
          <w:szCs w:val="28"/>
        </w:rPr>
        <w:t>，</w:t>
      </w:r>
      <w:bookmarkStart w:id="8" w:name="_Hlk36711215"/>
      <w:r>
        <w:rPr>
          <w:rFonts w:hint="eastAsia" w:ascii="仿宋_GB2312" w:hAnsi="方正仿宋_GBK" w:eastAsia="仿宋_GB2312" w:cs="方正仿宋_GBK"/>
          <w:color w:val="auto"/>
          <w:sz w:val="32"/>
          <w:szCs w:val="28"/>
        </w:rPr>
        <w:t>年均增速达</w:t>
      </w:r>
      <w:r>
        <w:rPr>
          <w:rFonts w:ascii="仿宋_GB2312" w:hAnsi="方正仿宋_GBK" w:eastAsia="仿宋_GB2312" w:cs="方正仿宋_GBK"/>
          <w:color w:val="auto"/>
          <w:sz w:val="32"/>
          <w:szCs w:val="28"/>
        </w:rPr>
        <w:t>7.8%</w:t>
      </w:r>
      <w:r>
        <w:rPr>
          <w:rFonts w:hint="eastAsia" w:ascii="仿宋_GB2312" w:hAnsi="方正仿宋_GBK" w:eastAsia="仿宋_GB2312" w:cs="方正仿宋_GBK"/>
          <w:color w:val="auto"/>
          <w:sz w:val="32"/>
          <w:szCs w:val="28"/>
        </w:rPr>
        <w:t>，占全市地区生产总值比重</w:t>
      </w:r>
      <w:bookmarkEnd w:id="7"/>
      <w:bookmarkEnd w:id="8"/>
      <w:r>
        <w:rPr>
          <w:rFonts w:hint="eastAsia" w:ascii="仿宋_GB2312" w:hAnsi="方正仿宋_GBK" w:eastAsia="仿宋_GB2312" w:cs="方正仿宋_GBK"/>
          <w:color w:val="auto"/>
          <w:sz w:val="32"/>
          <w:szCs w:val="28"/>
        </w:rPr>
        <w:t>由</w:t>
      </w:r>
      <w:r>
        <w:rPr>
          <w:rFonts w:ascii="仿宋_GB2312" w:hAnsi="方正仿宋_GBK" w:eastAsia="仿宋_GB2312" w:cs="方正仿宋_GBK"/>
          <w:color w:val="auto"/>
          <w:sz w:val="32"/>
          <w:szCs w:val="28"/>
        </w:rPr>
        <w:t>40.7%</w:t>
      </w:r>
      <w:r>
        <w:rPr>
          <w:rFonts w:hint="eastAsia" w:ascii="仿宋_GB2312" w:hAnsi="方正仿宋_GBK" w:eastAsia="仿宋_GB2312" w:cs="方正仿宋_GBK"/>
          <w:color w:val="auto"/>
          <w:sz w:val="32"/>
          <w:szCs w:val="28"/>
        </w:rPr>
        <w:t>提高到</w:t>
      </w:r>
      <w:r>
        <w:rPr>
          <w:rFonts w:ascii="仿宋_GB2312" w:hAnsi="方正仿宋_GBK" w:eastAsia="仿宋_GB2312" w:cs="方正仿宋_GBK"/>
          <w:color w:val="auto"/>
          <w:sz w:val="32"/>
          <w:szCs w:val="28"/>
        </w:rPr>
        <w:t>45.8%</w:t>
      </w:r>
      <w:r>
        <w:rPr>
          <w:rFonts w:hint="eastAsia" w:ascii="仿宋_GB2312" w:hAnsi="方正仿宋_GBK" w:eastAsia="仿宋_GB2312" w:cs="方正仿宋_GBK"/>
          <w:color w:val="auto"/>
          <w:sz w:val="32"/>
          <w:szCs w:val="28"/>
        </w:rPr>
        <w:t>，第三产业占比平稳增长。全市社会消费品零售额由</w:t>
      </w:r>
      <w:r>
        <w:rPr>
          <w:rFonts w:ascii="仿宋_GB2312" w:hAnsi="方正仿宋_GBK" w:eastAsia="仿宋_GB2312" w:cs="方正仿宋_GBK"/>
          <w:color w:val="auto"/>
          <w:sz w:val="32"/>
          <w:szCs w:val="28"/>
        </w:rPr>
        <w:t>2015</w:t>
      </w:r>
      <w:r>
        <w:rPr>
          <w:rFonts w:hint="eastAsia" w:ascii="仿宋_GB2312" w:hAnsi="方正仿宋_GBK" w:eastAsia="仿宋_GB2312" w:cs="方正仿宋_GBK"/>
          <w:color w:val="auto"/>
          <w:sz w:val="32"/>
          <w:szCs w:val="28"/>
        </w:rPr>
        <w:t>年的</w:t>
      </w:r>
      <w:r>
        <w:rPr>
          <w:rFonts w:ascii="仿宋_GB2312" w:hAnsi="方正仿宋_GBK" w:eastAsia="仿宋_GB2312" w:cs="方正仿宋_GBK"/>
          <w:color w:val="auto"/>
          <w:sz w:val="32"/>
          <w:szCs w:val="28"/>
        </w:rPr>
        <w:t>675.5</w:t>
      </w:r>
      <w:r>
        <w:rPr>
          <w:rFonts w:hint="eastAsia" w:ascii="仿宋_GB2312" w:hAnsi="方正仿宋_GBK" w:eastAsia="仿宋_GB2312" w:cs="方正仿宋_GBK"/>
          <w:color w:val="auto"/>
          <w:sz w:val="32"/>
          <w:szCs w:val="28"/>
        </w:rPr>
        <w:t>亿元增加到</w:t>
      </w:r>
      <w:r>
        <w:rPr>
          <w:rFonts w:ascii="仿宋_GB2312" w:hAnsi="方正仿宋_GBK" w:eastAsia="仿宋_GB2312" w:cs="方正仿宋_GBK"/>
          <w:color w:val="auto"/>
          <w:sz w:val="32"/>
          <w:szCs w:val="28"/>
        </w:rPr>
        <w:t>2020</w:t>
      </w:r>
      <w:r>
        <w:rPr>
          <w:rFonts w:hint="eastAsia" w:ascii="仿宋_GB2312" w:hAnsi="方正仿宋_GBK" w:eastAsia="仿宋_GB2312" w:cs="方正仿宋_GBK"/>
          <w:color w:val="auto"/>
          <w:sz w:val="32"/>
          <w:szCs w:val="28"/>
        </w:rPr>
        <w:t>年的</w:t>
      </w:r>
      <w:r>
        <w:rPr>
          <w:rFonts w:ascii="仿宋_GB2312" w:hAnsi="方正仿宋_GBK" w:eastAsia="仿宋_GB2312" w:cs="方正仿宋_GBK"/>
          <w:color w:val="auto"/>
          <w:sz w:val="32"/>
          <w:szCs w:val="28"/>
        </w:rPr>
        <w:t>856.4</w:t>
      </w:r>
      <w:r>
        <w:rPr>
          <w:rFonts w:hint="eastAsia" w:ascii="仿宋_GB2312" w:hAnsi="方正仿宋_GBK" w:eastAsia="仿宋_GB2312" w:cs="方正仿宋_GBK"/>
          <w:color w:val="auto"/>
          <w:sz w:val="32"/>
          <w:szCs w:val="28"/>
        </w:rPr>
        <w:t>亿元，年均增长</w:t>
      </w:r>
      <w:r>
        <w:rPr>
          <w:rFonts w:ascii="仿宋_GB2312" w:hAnsi="方正仿宋_GBK" w:eastAsia="仿宋_GB2312" w:cs="方正仿宋_GBK"/>
          <w:color w:val="auto"/>
          <w:sz w:val="32"/>
          <w:szCs w:val="28"/>
        </w:rPr>
        <w:t>4.9%</w:t>
      </w:r>
      <w:r>
        <w:rPr>
          <w:rFonts w:hint="eastAsia" w:ascii="仿宋_GB2312" w:hAnsi="方正仿宋_GBK" w:eastAsia="仿宋_GB2312" w:cs="方正仿宋_GBK"/>
          <w:color w:val="auto"/>
          <w:sz w:val="32"/>
          <w:szCs w:val="28"/>
        </w:rPr>
        <w:t>。第三产业对经济贡献率逐年提高，服务业在经济社会发展中的作用日益突出，已成为推动产业转型升级、经济高质量发展的的重要引擎。</w:t>
      </w:r>
      <w:bookmarkEnd w:id="5"/>
    </w:p>
    <w:p>
      <w:pPr>
        <w:spacing w:line="580" w:lineRule="exact"/>
        <w:ind w:firstLine="643" w:firstLineChars="200"/>
        <w:rPr>
          <w:rFonts w:ascii="仿宋_GB2312" w:hAnsi="方正仿宋_GBK" w:eastAsia="仿宋_GB2312" w:cs="方正仿宋_GBK"/>
          <w:color w:val="auto"/>
          <w:sz w:val="32"/>
          <w:szCs w:val="32"/>
        </w:rPr>
      </w:pPr>
      <w:r>
        <w:rPr>
          <w:rFonts w:ascii="仿宋_GB2312" w:hAnsi="方正仿宋_GBK" w:eastAsia="仿宋_GB2312" w:cs="方正仿宋_GBK"/>
          <w:b/>
          <w:color w:val="auto"/>
          <w:sz w:val="32"/>
          <w:szCs w:val="32"/>
        </w:rPr>
        <w:t>——</w:t>
      </w:r>
      <w:r>
        <w:rPr>
          <w:rFonts w:hint="eastAsia" w:ascii="仿宋_GB2312" w:hAnsi="方正仿宋_GBK" w:eastAsia="仿宋_GB2312" w:cs="方正仿宋_GBK"/>
          <w:b/>
          <w:color w:val="auto"/>
          <w:sz w:val="32"/>
          <w:szCs w:val="32"/>
        </w:rPr>
        <w:t>产业结构持续优化，新兴服务加快发展。</w:t>
      </w:r>
      <w:r>
        <w:rPr>
          <w:rFonts w:hint="eastAsia" w:ascii="仿宋_GB2312" w:hAnsi="方正仿宋_GBK" w:eastAsia="仿宋_GB2312" w:cs="方正仿宋_GBK"/>
          <w:color w:val="auto"/>
          <w:sz w:val="32"/>
          <w:szCs w:val="32"/>
        </w:rPr>
        <w:t>批发零售业、交通运输仓储和邮政业、房地产三大传统优势行业占服务业增加值比重由</w:t>
      </w:r>
      <w:r>
        <w:rPr>
          <w:rFonts w:ascii="仿宋_GB2312" w:hAnsi="方正仿宋_GBK" w:eastAsia="仿宋_GB2312" w:cs="方正仿宋_GBK"/>
          <w:color w:val="auto"/>
          <w:sz w:val="32"/>
          <w:szCs w:val="32"/>
        </w:rPr>
        <w:t>2016</w:t>
      </w:r>
      <w:r>
        <w:rPr>
          <w:rFonts w:hint="eastAsia" w:ascii="仿宋_GB2312" w:hAnsi="方正仿宋_GBK" w:eastAsia="仿宋_GB2312" w:cs="方正仿宋_GBK"/>
          <w:color w:val="auto"/>
          <w:sz w:val="32"/>
          <w:szCs w:val="32"/>
        </w:rPr>
        <w:t>年的</w:t>
      </w:r>
      <w:r>
        <w:rPr>
          <w:rFonts w:ascii="仿宋_GB2312" w:hAnsi="方正仿宋_GBK" w:eastAsia="仿宋_GB2312" w:cs="方正仿宋_GBK"/>
          <w:color w:val="auto"/>
          <w:sz w:val="32"/>
          <w:szCs w:val="32"/>
        </w:rPr>
        <w:t>44.9%</w:t>
      </w:r>
      <w:r>
        <w:rPr>
          <w:rFonts w:hint="eastAsia" w:ascii="仿宋_GB2312" w:hAnsi="方正仿宋_GBK" w:eastAsia="仿宋_GB2312" w:cs="方正仿宋_GBK"/>
          <w:color w:val="auto"/>
          <w:sz w:val="32"/>
          <w:szCs w:val="32"/>
        </w:rPr>
        <w:t>下降至</w:t>
      </w:r>
      <w:r>
        <w:rPr>
          <w:rFonts w:ascii="仿宋_GB2312" w:hAnsi="方正仿宋_GBK" w:eastAsia="仿宋_GB2312" w:cs="方正仿宋_GBK"/>
          <w:color w:val="auto"/>
          <w:sz w:val="32"/>
          <w:szCs w:val="32"/>
        </w:rPr>
        <w:t>2020</w:t>
      </w:r>
      <w:r>
        <w:rPr>
          <w:rFonts w:hint="eastAsia" w:ascii="仿宋_GB2312" w:hAnsi="方正仿宋_GBK" w:eastAsia="仿宋_GB2312" w:cs="方正仿宋_GBK"/>
          <w:color w:val="auto"/>
          <w:sz w:val="32"/>
          <w:szCs w:val="32"/>
        </w:rPr>
        <w:t>年</w:t>
      </w:r>
      <w:r>
        <w:rPr>
          <w:rFonts w:ascii="仿宋_GB2312" w:hAnsi="方正仿宋_GBK" w:eastAsia="仿宋_GB2312" w:cs="方正仿宋_GBK"/>
          <w:color w:val="auto"/>
          <w:sz w:val="32"/>
          <w:szCs w:val="32"/>
        </w:rPr>
        <w:t>40.4%</w:t>
      </w:r>
      <w:r>
        <w:rPr>
          <w:rFonts w:hint="eastAsia" w:ascii="仿宋_GB2312" w:hAnsi="方正仿宋_GBK" w:eastAsia="仿宋_GB2312" w:cs="方正仿宋_GBK"/>
          <w:color w:val="auto"/>
          <w:sz w:val="32"/>
          <w:szCs w:val="32"/>
        </w:rPr>
        <w:t>。现代物流、文化旅游等主导产业转型增效明显，安阳陆港型国家物流枢纽列入国家物流枢纽建设名单，文化旅游业全域化、国际化步伐加快，产业规模进一步扩大，“十三五”以来，接待国内外游客超</w:t>
      </w:r>
      <w:r>
        <w:rPr>
          <w:rFonts w:ascii="仿宋_GB2312" w:hAnsi="方正仿宋_GBK" w:eastAsia="仿宋_GB2312" w:cs="方正仿宋_GBK"/>
          <w:color w:val="auto"/>
          <w:sz w:val="32"/>
          <w:szCs w:val="32"/>
        </w:rPr>
        <w:t>1.9</w:t>
      </w:r>
      <w:r>
        <w:rPr>
          <w:rFonts w:hint="eastAsia" w:ascii="仿宋_GB2312" w:hAnsi="方正仿宋_GBK" w:eastAsia="仿宋_GB2312" w:cs="方正仿宋_GBK"/>
          <w:color w:val="auto"/>
          <w:sz w:val="32"/>
          <w:szCs w:val="32"/>
        </w:rPr>
        <w:t>亿人次，旅游总收入超</w:t>
      </w:r>
      <w:r>
        <w:rPr>
          <w:rFonts w:ascii="仿宋_GB2312" w:hAnsi="方正仿宋_GBK" w:eastAsia="仿宋_GB2312" w:cs="方正仿宋_GBK"/>
          <w:color w:val="auto"/>
          <w:sz w:val="32"/>
          <w:szCs w:val="32"/>
        </w:rPr>
        <w:t>1881</w:t>
      </w:r>
      <w:r>
        <w:rPr>
          <w:rFonts w:hint="eastAsia" w:ascii="仿宋_GB2312" w:hAnsi="方正仿宋_GBK" w:eastAsia="仿宋_GB2312" w:cs="方正仿宋_GBK"/>
          <w:color w:val="auto"/>
          <w:sz w:val="32"/>
          <w:szCs w:val="32"/>
        </w:rPr>
        <w:t>亿元。以科技服务、信息服务、电子商务、通航服务为代表的新兴服务业发展势头良好，成立安阳市科技创新研究院，建成大数据云计算中心，入选全国首批国家工业电子商务区域试点城市、全国首批通用航空产业综合示范区和全国首批民用无人驾驶航空试验基地。</w:t>
      </w:r>
    </w:p>
    <w:p>
      <w:pPr>
        <w:pStyle w:val="12"/>
        <w:spacing w:line="580" w:lineRule="exact"/>
        <w:ind w:firstLine="643" w:firstLineChars="200"/>
        <w:rPr>
          <w:rFonts w:ascii="仿宋_GB2312" w:hAnsi="方正仿宋_GBK" w:eastAsia="仿宋_GB2312" w:cs="方正仿宋_GBK"/>
          <w:color w:val="auto"/>
          <w:kern w:val="2"/>
          <w:sz w:val="32"/>
          <w:szCs w:val="32"/>
        </w:rPr>
      </w:pPr>
      <w:r>
        <w:rPr>
          <w:rFonts w:ascii="仿宋_GB2312" w:hAnsi="Times New Roman" w:eastAsia="仿宋_GB2312"/>
          <w:b/>
          <w:bCs/>
          <w:color w:val="auto"/>
          <w:sz w:val="32"/>
          <w:szCs w:val="32"/>
        </w:rPr>
        <w:t>——</w:t>
      </w:r>
      <w:r>
        <w:rPr>
          <w:rFonts w:hint="eastAsia" w:ascii="仿宋_GB2312" w:hAnsi="Times New Roman" w:eastAsia="仿宋_GB2312"/>
          <w:b/>
          <w:bCs/>
          <w:color w:val="auto"/>
          <w:sz w:val="32"/>
          <w:szCs w:val="32"/>
        </w:rPr>
        <w:t>产业布局日趋合理，集聚效应进一步凸显。</w:t>
      </w:r>
      <w:r>
        <w:rPr>
          <w:rFonts w:hint="eastAsia" w:ascii="仿宋_GB2312" w:hAnsi="方正仿宋_GBK" w:eastAsia="仿宋_GB2312" w:cs="方正仿宋_GBK"/>
          <w:color w:val="auto"/>
          <w:kern w:val="2"/>
          <w:sz w:val="32"/>
          <w:szCs w:val="32"/>
        </w:rPr>
        <w:t>“十三五”期间，规划建设了市区、林州市和滑县等</w:t>
      </w:r>
      <w:r>
        <w:rPr>
          <w:rFonts w:ascii="仿宋_GB2312" w:hAnsi="方正仿宋_GBK" w:eastAsia="仿宋_GB2312" w:cs="方正仿宋_GBK"/>
          <w:color w:val="auto"/>
          <w:kern w:val="2"/>
          <w:sz w:val="32"/>
          <w:szCs w:val="32"/>
        </w:rPr>
        <w:t>3</w:t>
      </w:r>
      <w:r>
        <w:rPr>
          <w:rFonts w:hint="eastAsia" w:ascii="仿宋_GB2312" w:hAnsi="方正仿宋_GBK" w:eastAsia="仿宋_GB2312" w:cs="方正仿宋_GBK"/>
          <w:color w:val="auto"/>
          <w:kern w:val="2"/>
          <w:sz w:val="32"/>
          <w:szCs w:val="32"/>
        </w:rPr>
        <w:t>个商务中心区，文峰区、北关区、殷都区、龙安区、安阳县、内黄县、汤阴县等</w:t>
      </w:r>
      <w:r>
        <w:rPr>
          <w:rFonts w:ascii="仿宋_GB2312" w:hAnsi="方正仿宋_GBK" w:eastAsia="仿宋_GB2312" w:cs="方正仿宋_GBK"/>
          <w:color w:val="auto"/>
          <w:kern w:val="2"/>
          <w:sz w:val="32"/>
          <w:szCs w:val="32"/>
        </w:rPr>
        <w:t>7</w:t>
      </w:r>
      <w:r>
        <w:rPr>
          <w:rFonts w:hint="eastAsia" w:ascii="仿宋_GB2312" w:hAnsi="方正仿宋_GBK" w:eastAsia="仿宋_GB2312" w:cs="方正仿宋_GBK"/>
          <w:color w:val="auto"/>
          <w:kern w:val="2"/>
          <w:sz w:val="32"/>
          <w:szCs w:val="32"/>
        </w:rPr>
        <w:t>个特色商业区；创建汤阴县现代公铁口岸物流产业园、内黄果蔬城、林州国家</w:t>
      </w:r>
      <w:r>
        <w:rPr>
          <w:rFonts w:ascii="仿宋_GB2312" w:hAnsi="方正仿宋_GBK" w:eastAsia="仿宋_GB2312" w:cs="方正仿宋_GBK"/>
          <w:color w:val="auto"/>
          <w:kern w:val="2"/>
          <w:sz w:val="32"/>
          <w:szCs w:val="32"/>
        </w:rPr>
        <w:t>863</w:t>
      </w:r>
      <w:r>
        <w:rPr>
          <w:rFonts w:hint="eastAsia" w:ascii="仿宋_GB2312" w:hAnsi="方正仿宋_GBK" w:eastAsia="仿宋_GB2312" w:cs="方正仿宋_GBK"/>
          <w:color w:val="auto"/>
          <w:kern w:val="2"/>
          <w:sz w:val="32"/>
          <w:szCs w:val="32"/>
        </w:rPr>
        <w:t>红旗渠科技产业园区等</w:t>
      </w:r>
      <w:r>
        <w:rPr>
          <w:rFonts w:ascii="仿宋_GB2312" w:hAnsi="方正仿宋_GBK" w:eastAsia="仿宋_GB2312" w:cs="方正仿宋_GBK"/>
          <w:color w:val="auto"/>
          <w:kern w:val="2"/>
          <w:sz w:val="32"/>
          <w:szCs w:val="32"/>
        </w:rPr>
        <w:t>3</w:t>
      </w:r>
      <w:r>
        <w:rPr>
          <w:rFonts w:hint="eastAsia" w:ascii="仿宋_GB2312" w:hAnsi="方正仿宋_GBK" w:eastAsia="仿宋_GB2312" w:cs="方正仿宋_GBK"/>
          <w:color w:val="auto"/>
          <w:kern w:val="2"/>
          <w:sz w:val="32"/>
          <w:szCs w:val="32"/>
        </w:rPr>
        <w:t>个省级服务业专业园区；建成万庄安阳物流园、安阳象道物流园、国际物流港、大通物流园、武丁钢铁物流园、安运交通物流园等</w:t>
      </w:r>
      <w:r>
        <w:rPr>
          <w:rFonts w:ascii="仿宋_GB2312" w:hAnsi="方正仿宋_GBK" w:eastAsia="仿宋_GB2312" w:cs="方正仿宋_GBK"/>
          <w:color w:val="auto"/>
          <w:kern w:val="2"/>
          <w:sz w:val="32"/>
          <w:szCs w:val="32"/>
        </w:rPr>
        <w:t>15</w:t>
      </w:r>
      <w:r>
        <w:rPr>
          <w:rFonts w:hint="eastAsia" w:ascii="仿宋_GB2312" w:hAnsi="方正仿宋_GBK" w:eastAsia="仿宋_GB2312" w:cs="方正仿宋_GBK"/>
          <w:color w:val="auto"/>
          <w:kern w:val="2"/>
          <w:sz w:val="32"/>
          <w:szCs w:val="32"/>
        </w:rPr>
        <w:t>个物流园区。服务业载体建设初见成效，服务业集聚发展效应突出，引领带动全市服务业综合实力不断增强。</w:t>
      </w:r>
    </w:p>
    <w:p>
      <w:pPr>
        <w:spacing w:line="580" w:lineRule="exact"/>
        <w:ind w:firstLine="643" w:firstLineChars="200"/>
        <w:rPr>
          <w:rFonts w:ascii="方正仿宋_GBK" w:hAnsi="方正仿宋_GBK" w:eastAsia="方正仿宋_GBK" w:cs="方正仿宋_GBK"/>
          <w:color w:val="auto"/>
          <w:sz w:val="32"/>
          <w:szCs w:val="32"/>
        </w:rPr>
      </w:pPr>
      <w:r>
        <w:rPr>
          <w:rFonts w:ascii="仿宋_GB2312" w:hAnsi="Times New Roman" w:eastAsia="仿宋_GB2312"/>
          <w:b/>
          <w:bCs/>
          <w:color w:val="auto"/>
          <w:sz w:val="32"/>
          <w:szCs w:val="32"/>
        </w:rPr>
        <w:t>——</w:t>
      </w:r>
      <w:r>
        <w:rPr>
          <w:rFonts w:hint="eastAsia" w:ascii="仿宋_GB2312" w:hAnsi="Times New Roman" w:eastAsia="仿宋_GB2312"/>
          <w:b/>
          <w:bCs/>
          <w:color w:val="auto"/>
          <w:sz w:val="32"/>
          <w:szCs w:val="32"/>
        </w:rPr>
        <w:t>改革创新继续深化，发展环境进一步优化。</w:t>
      </w:r>
      <w:r>
        <w:rPr>
          <w:rFonts w:hint="eastAsia" w:ascii="仿宋_GB2312" w:hAnsi="方正仿宋_GBK" w:eastAsia="仿宋_GB2312" w:cs="方正仿宋_GBK"/>
          <w:color w:val="auto"/>
          <w:sz w:val="32"/>
          <w:szCs w:val="32"/>
        </w:rPr>
        <w:t>“十三五”以来，全市深入推进服务业体制机制改革，出台了《加快发展生活性服务业促进消费结构升级实施方案》《关于加快推进电子商务发展的实施意见》《关于促进中心城区服务业主导产业集聚发展的指导意见》等系列政策文件，发展环境持续改善。安阳机场、陆港型国家物流枢纽建设加快推进，万庄保税仓库建成投运，保税物流中心取得省支持，出海国际物流通道正式开通，国际贸易“单一窗口”全面使用，外向型经济实现良好发展。</w:t>
      </w:r>
    </w:p>
    <w:p>
      <w:pPr>
        <w:pStyle w:val="3"/>
        <w:spacing w:line="580" w:lineRule="exact"/>
        <w:ind w:firstLine="640" w:firstLineChars="200"/>
        <w:rPr>
          <w:rFonts w:ascii="楷体_GB2312" w:eastAsia="楷体_GB2312"/>
          <w:color w:val="auto"/>
        </w:rPr>
      </w:pPr>
      <w:bookmarkStart w:id="9" w:name="_Toc99813092"/>
      <w:r>
        <w:rPr>
          <w:rFonts w:hint="eastAsia" w:ascii="楷体_GB2312" w:eastAsia="楷体_GB2312"/>
          <w:color w:val="auto"/>
        </w:rPr>
        <w:t>（二）发展形势</w:t>
      </w:r>
      <w:bookmarkEnd w:id="9"/>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“十四五”期间，世界百年未有之大变局加速演化，我国开启了全面建设社会主义现代化国家的新征程，我市现代服务业发展机遇与挑战并存。</w:t>
      </w:r>
    </w:p>
    <w:p>
      <w:pPr>
        <w:autoSpaceDN w:val="0"/>
        <w:snapToGrid w:val="0"/>
        <w:spacing w:line="580" w:lineRule="exact"/>
        <w:ind w:firstLine="643" w:firstLineChars="200"/>
        <w:rPr>
          <w:rFonts w:ascii="仿宋_GB2312" w:hAnsi="方正仿宋_GBK" w:eastAsia="仿宋_GB2312" w:cs="方正仿宋_GBK"/>
          <w:color w:val="auto"/>
          <w:sz w:val="32"/>
          <w:szCs w:val="32"/>
        </w:rPr>
      </w:pPr>
      <w:r>
        <w:rPr>
          <w:rFonts w:hint="eastAsia" w:ascii="仿宋_GB2312" w:hAnsi="Times New Roman" w:eastAsia="仿宋_GB2312"/>
          <w:b/>
          <w:color w:val="auto"/>
          <w:sz w:val="32"/>
          <w:szCs w:val="32"/>
        </w:rPr>
        <w:t>国内经济发展进入高质量发展新阶段，对安阳现代服务业发展提出了新要求。</w:t>
      </w:r>
      <w:r>
        <w:rPr>
          <w:rFonts w:hint="eastAsia" w:ascii="仿宋_GB2312" w:hAnsi="方正仿宋_GBK" w:eastAsia="仿宋_GB2312" w:cs="方正仿宋_GBK"/>
          <w:color w:val="auto"/>
          <w:sz w:val="32"/>
          <w:szCs w:val="32"/>
        </w:rPr>
        <w:t>我国转向高质量发展阶段，要求更加注重经济发展质量和效益。安阳有较好制造业基础，但要实现更高质量、更有效率的持续发展，必须更加注重与服务业的融合，推动生产型制造向服务型制造转变。同时，我国已进入消费结构加快升级、消费拉动经济作用明显增强的服务经济新时代，居民消费呈现出从有形物质产品向更多服务消费转变的明显特征，文体娱乐、健康养老、休闲旅游等新兴服务业态不断涌现。加快发展现代服务业是安阳在新常态下扩大新供给、培育新动能、塑造新优势的必然选择。</w:t>
      </w:r>
    </w:p>
    <w:p>
      <w:pPr>
        <w:autoSpaceDN w:val="0"/>
        <w:snapToGrid w:val="0"/>
        <w:spacing w:line="580" w:lineRule="exact"/>
        <w:ind w:firstLine="643" w:firstLineChars="200"/>
        <w:rPr>
          <w:rFonts w:ascii="仿宋_GB2312" w:hAnsi="方正仿宋_GBK" w:eastAsia="仿宋_GB2312" w:cs="方正仿宋_GBK"/>
          <w:color w:val="auto"/>
          <w:sz w:val="32"/>
          <w:szCs w:val="32"/>
        </w:rPr>
      </w:pPr>
      <w:r>
        <w:rPr>
          <w:rFonts w:hint="eastAsia" w:ascii="仿宋_GB2312" w:hAnsi="Times New Roman" w:eastAsia="仿宋_GB2312"/>
          <w:b/>
          <w:color w:val="auto"/>
          <w:sz w:val="32"/>
          <w:szCs w:val="32"/>
        </w:rPr>
        <w:t>新一轮科技革命和产业变革蓄势待发，为安阳现代服务业发展注入了新动能。</w:t>
      </w:r>
      <w:r>
        <w:rPr>
          <w:rFonts w:hint="eastAsia" w:ascii="仿宋_GB2312" w:hAnsi="Times New Roman" w:eastAsia="仿宋_GB2312"/>
          <w:color w:val="auto"/>
          <w:sz w:val="32"/>
          <w:szCs w:val="32"/>
        </w:rPr>
        <w:t>“</w:t>
      </w:r>
      <w:r>
        <w:rPr>
          <w:rFonts w:hint="eastAsia" w:ascii="仿宋_GB2312" w:hAnsi="方正仿宋_GBK" w:eastAsia="仿宋_GB2312" w:cs="方正仿宋_GBK"/>
          <w:color w:val="auto"/>
          <w:sz w:val="32"/>
          <w:szCs w:val="32"/>
        </w:rPr>
        <w:t>新基建”全面布局，人工智能、大数据、</w:t>
      </w:r>
      <w:r>
        <w:rPr>
          <w:rFonts w:ascii="仿宋_GB2312" w:hAnsi="方正仿宋_GBK" w:eastAsia="仿宋_GB2312" w:cs="方正仿宋_GBK"/>
          <w:color w:val="auto"/>
          <w:sz w:val="32"/>
          <w:szCs w:val="32"/>
        </w:rPr>
        <w:t>5G</w:t>
      </w:r>
      <w:r>
        <w:rPr>
          <w:rFonts w:hint="eastAsia" w:ascii="仿宋_GB2312" w:hAnsi="方正仿宋_GBK" w:eastAsia="仿宋_GB2312" w:cs="方正仿宋_GBK"/>
          <w:color w:val="auto"/>
          <w:sz w:val="32"/>
          <w:szCs w:val="32"/>
        </w:rPr>
        <w:t>等新一代信息技术不断突破和广泛应用，将进一步提升服务业标准化、规模化、品牌化、网络化和智能化水平。安阳数字经济具备一定基础，特别是在智能制造、电子商务等领域具备先发优势，实施服务业数字化改造、数字化赋能，大力发展数字经济潜力可观，将有力促进服务业创新升级。同时，随着国内交通高速化、便捷化将进一步强化安阳作为区域中心城市发展现代服务业的优势。</w:t>
      </w:r>
    </w:p>
    <w:p>
      <w:pPr>
        <w:autoSpaceDN w:val="0"/>
        <w:snapToGrid w:val="0"/>
        <w:spacing w:line="580" w:lineRule="exact"/>
        <w:ind w:firstLine="643" w:firstLineChars="200"/>
        <w:rPr>
          <w:rFonts w:ascii="仿宋_GB2312" w:hAnsi="方正仿宋_GBK" w:eastAsia="仿宋_GB2312" w:cs="方正仿宋_GBK"/>
          <w:color w:val="auto"/>
          <w:sz w:val="32"/>
          <w:szCs w:val="32"/>
        </w:rPr>
      </w:pPr>
      <w:r>
        <w:rPr>
          <w:rFonts w:hint="eastAsia" w:ascii="仿宋_GB2312" w:hAnsi="Times New Roman" w:eastAsia="仿宋_GB2312"/>
          <w:b/>
          <w:color w:val="auto"/>
          <w:sz w:val="32"/>
          <w:szCs w:val="32"/>
        </w:rPr>
        <w:t>国家、省实施重大战略布局，为安阳现代服务业发展提供了新空间。</w:t>
      </w:r>
      <w:r>
        <w:rPr>
          <w:rFonts w:hint="eastAsia" w:ascii="仿宋_GB2312" w:hAnsi="方正仿宋_GBK" w:eastAsia="仿宋_GB2312" w:cs="方正仿宋_GBK"/>
          <w:color w:val="auto"/>
          <w:sz w:val="32"/>
          <w:szCs w:val="32"/>
        </w:rPr>
        <w:t>国家深入实施京津冀协同发展、中原城市群建设、黄河流域生态环境保护与高质量发展等引领区域协调发展、构建新发展格局的重大战略，将全面提升中原腹地区域中心城市在国内大循环中的地位。省委省政府提出要提升安阳区域中心城市规模能级，支持安阳建设区域先进制造业中心和区域交通物流中心。安阳现代服务业发展将积极融入国家、省重大战略布局，服务先进制造、提升城市能级、增进民生福祉，深度参与区域分工协作，现代服务业发展拥有广阔市场空间。</w:t>
      </w:r>
    </w:p>
    <w:p>
      <w:pPr>
        <w:autoSpaceDN w:val="0"/>
        <w:snapToGrid w:val="0"/>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综合研判，“十四五”时期，我市现代服务业在迎来良好发展机遇的同时，也面临诸多挑战，主要表现在：创新能力不强，新产业新业态新模式规模偏小，创新投入亟待提升；融合发展不深，服务业对制造业的支撑能力有待提升；消费能级不高，高品质、精细化服务供给不足；市场主体规模偏小，龙头企业少，品牌、标准化建设仍需加强；集聚水平偏低，服务业集聚区规模相对较小，创新人才缺乏，专业化程度不高，对服务业优化升级影响较大；开放活力不足，平台载体少，现有平台功能尚未充分释放，发展环境需进一步优化；周边邯郸、濮阳、聊城、长治等区域中心城市纷起，将带来人才、资金、企业等资源</w:t>
      </w:r>
      <w:r>
        <w:rPr>
          <w:rFonts w:hint="eastAsia" w:ascii="仿宋_GB2312" w:hAnsi="方正仿宋_GBK" w:eastAsia="仿宋_GB2312" w:cs="方正仿宋_GBK"/>
          <w:color w:val="auto"/>
          <w:sz w:val="32"/>
          <w:szCs w:val="32"/>
          <w:lang w:eastAsia="zh-CN"/>
        </w:rPr>
        <w:t>配置</w:t>
      </w:r>
      <w:r>
        <w:rPr>
          <w:rFonts w:hint="eastAsia" w:ascii="仿宋_GB2312" w:hAnsi="方正仿宋_GBK" w:eastAsia="仿宋_GB2312" w:cs="方正仿宋_GBK"/>
          <w:color w:val="auto"/>
          <w:sz w:val="32"/>
          <w:szCs w:val="32"/>
        </w:rPr>
        <w:t>的竞争压力。</w:t>
      </w:r>
    </w:p>
    <w:p>
      <w:pPr>
        <w:autoSpaceDN w:val="0"/>
        <w:snapToGrid w:val="0"/>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进入新发展阶段，应深刻认识错综复杂的国际环境带来的新矛盾新挑战，增强机遇意识和风险意识，进一步推动区位优势再造，放大现代物流、文化旅游、科教人才、医疗资源等方面的比较优势，抓住用好机遇，迎接应对挑战，着力推动服务业高质量发展，开创我市现代服务业发展新时代。</w:t>
      </w:r>
    </w:p>
    <w:p>
      <w:pPr>
        <w:pStyle w:val="2"/>
        <w:spacing w:line="580" w:lineRule="exact"/>
        <w:rPr>
          <w:b w:val="0"/>
          <w:bCs w:val="0"/>
          <w:color w:val="auto"/>
        </w:rPr>
      </w:pPr>
      <w:bookmarkStart w:id="10" w:name="_Toc99813093"/>
      <w:r>
        <w:rPr>
          <w:b w:val="0"/>
          <w:bCs w:val="0"/>
          <w:color w:val="auto"/>
        </w:rPr>
        <w:t xml:space="preserve">    </w:t>
      </w:r>
      <w:r>
        <w:rPr>
          <w:rFonts w:hint="eastAsia"/>
          <w:b w:val="0"/>
          <w:bCs w:val="0"/>
          <w:color w:val="auto"/>
        </w:rPr>
        <w:t>二、树立发展新目标</w:t>
      </w:r>
      <w:bookmarkEnd w:id="10"/>
    </w:p>
    <w:p>
      <w:pPr>
        <w:pStyle w:val="3"/>
        <w:spacing w:line="580" w:lineRule="exact"/>
        <w:rPr>
          <w:rFonts w:ascii="楷体_GB2312" w:hAnsi="华文楷体" w:eastAsia="楷体_GB2312" w:cs="华文楷体"/>
          <w:color w:val="auto"/>
        </w:rPr>
      </w:pPr>
      <w:bookmarkStart w:id="11" w:name="_Toc99813094"/>
      <w:r>
        <w:rPr>
          <w:rFonts w:ascii="楷体_GB2312" w:hAnsi="华文楷体" w:eastAsia="楷体_GB2312" w:cs="华文楷体"/>
          <w:color w:val="auto"/>
        </w:rPr>
        <w:t xml:space="preserve">    </w:t>
      </w:r>
      <w:r>
        <w:rPr>
          <w:rFonts w:hint="eastAsia" w:ascii="楷体_GB2312" w:hAnsi="华文楷体" w:eastAsia="楷体_GB2312" w:cs="华文楷体"/>
          <w:color w:val="auto"/>
        </w:rPr>
        <w:t>（一）指导思想</w:t>
      </w:r>
      <w:bookmarkEnd w:id="11"/>
    </w:p>
    <w:p>
      <w:pPr>
        <w:spacing w:line="58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以习近平新时代中国特色社会主义思想为指导，全面贯彻党的十九大和十九届历次全会精神，深入贯彻习近平总书记关于河南工作的重要讲话和指示精神，立足新发展阶段，贯彻新发展理念，紧抓构建新发展格局战略机遇，坚持以建成“一个强市”、实现“八个领先”为引领，以服务业高质量发展为主题，以供给侧结构性改革为主线，以不断满足产业转型升级需求和人民美好生活需要为目标，加快推进服务业高端化、数字化、融合化、品牌化，努力构建优质高效、结构优化、竞争力强的</w:t>
      </w:r>
      <w:r>
        <w:rPr>
          <w:rFonts w:hint="eastAsia" w:ascii="仿宋_GB2312" w:hAnsi="华文仿宋" w:eastAsia="仿宋_GB2312" w:cs="华文仿宋"/>
          <w:color w:val="auto"/>
          <w:sz w:val="32"/>
          <w:szCs w:val="32"/>
        </w:rPr>
        <w:t>“</w:t>
      </w:r>
      <w:r>
        <w:rPr>
          <w:rFonts w:ascii="仿宋_GB2312" w:hAnsi="华文仿宋" w:eastAsia="仿宋_GB2312" w:cs="华文仿宋"/>
          <w:color w:val="auto"/>
          <w:sz w:val="32"/>
          <w:szCs w:val="32"/>
        </w:rPr>
        <w:t>4+6+5</w:t>
      </w:r>
      <w:r>
        <w:rPr>
          <w:rFonts w:hint="eastAsia" w:ascii="仿宋_GB2312" w:hAnsi="华文仿宋" w:eastAsia="仿宋_GB2312" w:cs="华文仿宋"/>
          <w:color w:val="auto"/>
          <w:sz w:val="32"/>
          <w:szCs w:val="32"/>
        </w:rPr>
        <w:t>”</w:t>
      </w:r>
      <w:r>
        <w:rPr>
          <w:rFonts w:hint="eastAsia" w:ascii="仿宋_GB2312" w:hAnsi="Times New Roman" w:eastAsia="仿宋_GB2312"/>
          <w:color w:val="auto"/>
          <w:sz w:val="32"/>
          <w:szCs w:val="32"/>
        </w:rPr>
        <w:t>现代服务业新体系，进一步发挥服务业在增强安阳先进制造业核心竞争力、增进民生福祉、提升城市规模能级中的支撑作用，推动全市服务业发展迈上新台阶。</w:t>
      </w:r>
    </w:p>
    <w:p>
      <w:pPr>
        <w:pStyle w:val="3"/>
        <w:spacing w:line="580" w:lineRule="exact"/>
        <w:rPr>
          <w:rFonts w:ascii="楷体_GB2312" w:hAnsi="华文楷体" w:eastAsia="楷体_GB2312" w:cs="华文楷体"/>
          <w:color w:val="auto"/>
        </w:rPr>
      </w:pPr>
      <w:bookmarkStart w:id="12" w:name="_Toc99813095"/>
      <w:r>
        <w:rPr>
          <w:rFonts w:ascii="楷体_GB2312" w:hAnsi="华文楷体" w:eastAsia="楷体_GB2312" w:cs="华文楷体"/>
          <w:color w:val="auto"/>
        </w:rPr>
        <w:t xml:space="preserve">    </w:t>
      </w:r>
      <w:r>
        <w:rPr>
          <w:rFonts w:hint="eastAsia" w:ascii="楷体_GB2312" w:hAnsi="华文楷体" w:eastAsia="楷体_GB2312" w:cs="华文楷体"/>
          <w:color w:val="auto"/>
        </w:rPr>
        <w:t>（二）基本原则</w:t>
      </w:r>
      <w:bookmarkEnd w:id="12"/>
    </w:p>
    <w:p>
      <w:pPr>
        <w:spacing w:line="580" w:lineRule="exact"/>
        <w:ind w:firstLine="600"/>
        <w:rPr>
          <w:rFonts w:ascii="仿宋_GB2312" w:hAnsi="Times New Roman" w:eastAsia="仿宋_GB2312"/>
          <w:b/>
          <w:bCs/>
          <w:color w:val="auto"/>
          <w:sz w:val="32"/>
          <w:szCs w:val="32"/>
        </w:rPr>
      </w:pPr>
      <w:r>
        <w:rPr>
          <w:rFonts w:hint="eastAsia" w:ascii="仿宋_GB2312" w:hAnsi="Times New Roman" w:eastAsia="仿宋_GB2312"/>
          <w:b/>
          <w:bCs/>
          <w:color w:val="auto"/>
          <w:sz w:val="32"/>
          <w:szCs w:val="32"/>
        </w:rPr>
        <w:t>坚持以人为本，优化供给。</w:t>
      </w:r>
      <w:r>
        <w:rPr>
          <w:rFonts w:hint="eastAsia" w:ascii="仿宋_GB2312" w:hAnsi="Times New Roman" w:eastAsia="仿宋_GB2312"/>
          <w:bCs/>
          <w:color w:val="auto"/>
          <w:sz w:val="32"/>
          <w:szCs w:val="32"/>
        </w:rPr>
        <w:t>坚持以人民为中心的发展思想，更多更好满足多层次多样化服务需求，不断增强人民的获得感、幸福感、安全感。着力增强非基本公共服务市场化供给能力，以高质量的服务供给催生创造新的服务需求。</w:t>
      </w:r>
    </w:p>
    <w:p>
      <w:pPr>
        <w:spacing w:line="580" w:lineRule="exact"/>
        <w:ind w:firstLine="600"/>
        <w:rPr>
          <w:rFonts w:ascii="仿宋_GB2312" w:hAnsi="Times New Roman" w:eastAsia="仿宋_GB2312"/>
          <w:color w:val="auto"/>
          <w:sz w:val="32"/>
          <w:szCs w:val="32"/>
        </w:rPr>
      </w:pPr>
      <w:r>
        <w:rPr>
          <w:rFonts w:hint="eastAsia" w:ascii="仿宋_GB2312" w:hAnsi="Times New Roman" w:eastAsia="仿宋_GB2312"/>
          <w:b/>
          <w:color w:val="auto"/>
          <w:sz w:val="32"/>
          <w:szCs w:val="32"/>
        </w:rPr>
        <w:t>坚持市场主导，高效发展。</w:t>
      </w:r>
      <w:r>
        <w:rPr>
          <w:rFonts w:hint="eastAsia" w:ascii="仿宋_GB2312" w:hAnsi="Times New Roman" w:eastAsia="仿宋_GB2312"/>
          <w:color w:val="auto"/>
          <w:sz w:val="32"/>
          <w:szCs w:val="32"/>
        </w:rPr>
        <w:t>充分发挥市场在资源配置中的决定性作用，创新政府对服务业发展的引导作用。顺应新形势新要求，维护市场规则秩序，促进市场公平竞争，激发市场主体活力，营造市场主体良性互动、要素资源高效利用的服务业发展环境，推动现代服务业高质量发展。</w:t>
      </w:r>
    </w:p>
    <w:p>
      <w:pPr>
        <w:spacing w:line="580" w:lineRule="exact"/>
        <w:ind w:firstLine="600"/>
        <w:rPr>
          <w:rFonts w:ascii="仿宋_GB2312" w:hAnsi="Times New Roman" w:eastAsia="仿宋_GB2312"/>
          <w:color w:val="auto"/>
          <w:sz w:val="32"/>
          <w:szCs w:val="32"/>
        </w:rPr>
      </w:pPr>
      <w:r>
        <w:rPr>
          <w:rFonts w:hint="eastAsia" w:ascii="仿宋_GB2312" w:hAnsi="Times New Roman" w:eastAsia="仿宋_GB2312"/>
          <w:b/>
          <w:color w:val="auto"/>
          <w:sz w:val="32"/>
          <w:szCs w:val="32"/>
        </w:rPr>
        <w:t>坚持创新驱动，跨界融合。</w:t>
      </w:r>
      <w:r>
        <w:rPr>
          <w:rFonts w:hint="eastAsia" w:ascii="仿宋_GB2312" w:hAnsi="Times New Roman" w:eastAsia="仿宋_GB2312"/>
          <w:color w:val="auto"/>
          <w:sz w:val="32"/>
          <w:szCs w:val="32"/>
        </w:rPr>
        <w:t>抢抓新一轮技术革命和产业跨界融合发展机遇，加快服务业技术创新、业态创新、模式创新，打造发展新动能。推进现代服务业与先进制造业、现代农业深度融合，促进服务业各业态之间渗透交融，提高供给体系质量和效率。</w:t>
      </w:r>
    </w:p>
    <w:p>
      <w:pPr>
        <w:shd w:val="clear" w:color="auto" w:fill="FFFFFF"/>
        <w:spacing w:line="580" w:lineRule="exact"/>
        <w:ind w:firstLine="643" w:firstLineChars="200"/>
        <w:jc w:val="left"/>
        <w:rPr>
          <w:rFonts w:ascii="仿宋_GB2312" w:hAnsi="Times New Roman" w:eastAsia="仿宋_GB2312"/>
          <w:color w:val="auto"/>
          <w:sz w:val="32"/>
          <w:szCs w:val="32"/>
        </w:rPr>
      </w:pPr>
      <w:r>
        <w:rPr>
          <w:rFonts w:hint="eastAsia" w:ascii="仿宋_GB2312" w:hAnsi="Times New Roman" w:eastAsia="仿宋_GB2312"/>
          <w:b/>
          <w:bCs/>
          <w:color w:val="auto"/>
          <w:sz w:val="32"/>
          <w:szCs w:val="32"/>
        </w:rPr>
        <w:t>坚持立足优势，特色发展。</w:t>
      </w:r>
      <w:r>
        <w:rPr>
          <w:rFonts w:hint="eastAsia" w:ascii="仿宋_GB2312" w:hAnsi="Times New Roman" w:eastAsia="仿宋_GB2312"/>
          <w:color w:val="auto"/>
          <w:sz w:val="32"/>
          <w:szCs w:val="32"/>
        </w:rPr>
        <w:t>依托殷墟、甲骨文、易经、红旗渠等特色资源，以及物流、商贸、通航等优势服务产业，结合本地先进制造业和现代农业，重点谋划差异化、有竞争力的服务业领域，加快引导、培育和扶持，打响“安阳服务”城市品牌。</w:t>
      </w:r>
    </w:p>
    <w:p>
      <w:pPr>
        <w:shd w:val="clear" w:color="auto" w:fill="FFFFFF"/>
        <w:spacing w:line="580" w:lineRule="exact"/>
        <w:ind w:firstLine="643" w:firstLineChars="200"/>
        <w:jc w:val="left"/>
        <w:rPr>
          <w:rFonts w:ascii="仿宋_GB2312" w:hAnsi="??" w:eastAsia="仿宋_GB2312" w:cs="??"/>
          <w:color w:val="auto"/>
          <w:kern w:val="0"/>
          <w:sz w:val="24"/>
          <w:szCs w:val="24"/>
        </w:rPr>
      </w:pPr>
      <w:r>
        <w:rPr>
          <w:rFonts w:hint="eastAsia" w:ascii="仿宋_GB2312" w:hAnsi="Times New Roman" w:eastAsia="仿宋_GB2312"/>
          <w:b/>
          <w:bCs/>
          <w:color w:val="auto"/>
          <w:sz w:val="32"/>
          <w:szCs w:val="32"/>
        </w:rPr>
        <w:t>坚持深化改革，扩大开放。</w:t>
      </w:r>
      <w:r>
        <w:rPr>
          <w:rFonts w:hint="eastAsia" w:ascii="仿宋_GB2312" w:hAnsi="Times New Roman" w:eastAsia="仿宋_GB2312"/>
          <w:color w:val="auto"/>
          <w:sz w:val="32"/>
          <w:szCs w:val="32"/>
        </w:rPr>
        <w:t>发挥区域中心城市引领作用，积极融入中原城市群、京津冀协同发展、黄河流域生态保护和高质量发展等国家战略，以更大魄力、更高起点推进服务业改革开放，加快破除制约行业发展的体制机制障碍，充分调动各方积极性创造性，持续增强市场主体活力和高质量发展动力。</w:t>
      </w:r>
    </w:p>
    <w:p>
      <w:pPr>
        <w:pStyle w:val="3"/>
        <w:spacing w:line="580" w:lineRule="exact"/>
        <w:rPr>
          <w:rFonts w:ascii="楷体_GB2312" w:hAnsi="华文楷体" w:eastAsia="楷体_GB2312" w:cs="华文楷体"/>
          <w:color w:val="auto"/>
        </w:rPr>
      </w:pPr>
      <w:bookmarkStart w:id="13" w:name="_Toc99813096"/>
      <w:r>
        <w:rPr>
          <w:rFonts w:ascii="楷体_GB2312" w:hAnsi="华文楷体" w:eastAsia="楷体_GB2312" w:cs="华文楷体"/>
          <w:color w:val="auto"/>
        </w:rPr>
        <w:t xml:space="preserve">    </w:t>
      </w:r>
      <w:r>
        <w:rPr>
          <w:rFonts w:hint="eastAsia" w:ascii="楷体_GB2312" w:hAnsi="华文楷体" w:eastAsia="楷体_GB2312" w:cs="华文楷体"/>
          <w:color w:val="auto"/>
        </w:rPr>
        <w:t>（三）发展目标</w:t>
      </w:r>
      <w:bookmarkEnd w:id="13"/>
    </w:p>
    <w:p>
      <w:pPr>
        <w:shd w:val="clear" w:color="auto" w:fill="FFFFFF"/>
        <w:spacing w:line="580" w:lineRule="exact"/>
        <w:ind w:firstLine="640" w:firstLineChars="200"/>
        <w:jc w:val="left"/>
        <w:rPr>
          <w:rFonts w:ascii="仿宋_GB2312" w:hAnsi="Times New Roman" w:eastAsia="仿宋_GB2312"/>
          <w:color w:val="auto"/>
          <w:sz w:val="32"/>
          <w:szCs w:val="32"/>
        </w:rPr>
      </w:pPr>
      <w:r>
        <w:rPr>
          <w:rFonts w:hint="eastAsia" w:ascii="仿宋_GB2312" w:hAnsi="华文仿宋" w:eastAsia="仿宋_GB2312" w:cs="华文仿宋"/>
          <w:color w:val="auto"/>
          <w:sz w:val="32"/>
          <w:szCs w:val="32"/>
        </w:rPr>
        <w:t>到</w:t>
      </w:r>
      <w:r>
        <w:rPr>
          <w:rFonts w:ascii="仿宋_GB2312" w:hAnsi="华文仿宋" w:eastAsia="仿宋_GB2312" w:cs="华文仿宋"/>
          <w:color w:val="auto"/>
          <w:sz w:val="32"/>
          <w:szCs w:val="32"/>
        </w:rPr>
        <w:t>2025</w:t>
      </w:r>
      <w:r>
        <w:rPr>
          <w:rFonts w:hint="eastAsia" w:ascii="仿宋_GB2312" w:hAnsi="华文仿宋" w:eastAsia="仿宋_GB2312" w:cs="华文仿宋"/>
          <w:color w:val="auto"/>
          <w:sz w:val="32"/>
          <w:szCs w:val="32"/>
        </w:rPr>
        <w:t>年，基本建成优质高效、结构优化、竞争力强的“</w:t>
      </w:r>
      <w:r>
        <w:rPr>
          <w:rFonts w:ascii="仿宋_GB2312" w:hAnsi="华文仿宋" w:eastAsia="仿宋_GB2312" w:cs="华文仿宋"/>
          <w:color w:val="auto"/>
          <w:sz w:val="32"/>
          <w:szCs w:val="32"/>
        </w:rPr>
        <w:t>4+6+5</w:t>
      </w:r>
      <w:r>
        <w:rPr>
          <w:rFonts w:hint="eastAsia" w:ascii="仿宋_GB2312" w:hAnsi="华文仿宋" w:eastAsia="仿宋_GB2312" w:cs="华文仿宋"/>
          <w:color w:val="auto"/>
          <w:sz w:val="32"/>
          <w:szCs w:val="32"/>
        </w:rPr>
        <w:t>”</w:t>
      </w:r>
      <w:r>
        <w:rPr>
          <w:rFonts w:hint="eastAsia" w:ascii="仿宋_GB2312" w:hAnsi="Times New Roman" w:eastAsia="仿宋_GB2312"/>
          <w:color w:val="auto"/>
          <w:sz w:val="32"/>
          <w:szCs w:val="32"/>
        </w:rPr>
        <w:t>现代服务业产业新体系，在豫北区域、中原城市群和京津冀都市圈的经济活动影响力、资源配置能力和消费吸附力大幅提升，形成面向周边开展服务输出，引领区域生产消费潮流的区域现代服务业中心强市。</w:t>
      </w:r>
    </w:p>
    <w:p>
      <w:pPr>
        <w:shd w:val="clear" w:color="auto" w:fill="FFFFFF"/>
        <w:spacing w:line="580" w:lineRule="exact"/>
        <w:ind w:firstLine="643" w:firstLineChars="200"/>
        <w:rPr>
          <w:rFonts w:ascii="仿宋_GB2312" w:hAnsi="华文仿宋" w:eastAsia="仿宋_GB2312" w:cs="华文仿宋"/>
          <w:color w:val="auto"/>
          <w:sz w:val="32"/>
          <w:szCs w:val="32"/>
        </w:rPr>
      </w:pPr>
      <w:r>
        <w:rPr>
          <w:rFonts w:ascii="仿宋_GB2312" w:hAnsi="方正仿宋_GBK" w:eastAsia="仿宋_GB2312" w:cs="方正仿宋_GBK"/>
          <w:b/>
          <w:bCs/>
          <w:color w:val="auto"/>
          <w:sz w:val="32"/>
          <w:szCs w:val="32"/>
        </w:rPr>
        <w:t>——</w:t>
      </w:r>
      <w:r>
        <w:rPr>
          <w:rFonts w:hint="eastAsia" w:ascii="仿宋_GB2312" w:hAnsi="方正仿宋_GBK" w:eastAsia="仿宋_GB2312" w:cs="方正仿宋_GBK"/>
          <w:b/>
          <w:bCs/>
          <w:color w:val="auto"/>
          <w:sz w:val="32"/>
          <w:szCs w:val="32"/>
        </w:rPr>
        <w:t>总量规模取得突破，</w:t>
      </w:r>
      <w:bookmarkStart w:id="14" w:name="_Hlk85468780"/>
      <w:r>
        <w:rPr>
          <w:rFonts w:hint="eastAsia" w:ascii="仿宋_GB2312" w:hAnsi="方正仿宋_GBK" w:eastAsia="仿宋_GB2312" w:cs="方正仿宋_GBK"/>
          <w:b/>
          <w:bCs/>
          <w:color w:val="auto"/>
          <w:sz w:val="32"/>
          <w:szCs w:val="32"/>
        </w:rPr>
        <w:t>产业结构实现优化</w:t>
      </w:r>
      <w:bookmarkEnd w:id="14"/>
      <w:r>
        <w:rPr>
          <w:rFonts w:hint="eastAsia" w:ascii="仿宋_GB2312" w:hAnsi="方正仿宋_GBK" w:eastAsia="仿宋_GB2312" w:cs="方正仿宋_GBK"/>
          <w:b/>
          <w:bCs/>
          <w:color w:val="auto"/>
          <w:sz w:val="32"/>
          <w:szCs w:val="32"/>
        </w:rPr>
        <w:t>。</w:t>
      </w:r>
      <w:r>
        <w:rPr>
          <w:rFonts w:hint="eastAsia" w:ascii="仿宋_GB2312" w:hAnsi="华文仿宋" w:eastAsia="仿宋_GB2312" w:cs="华文仿宋"/>
          <w:color w:val="auto"/>
          <w:sz w:val="32"/>
          <w:szCs w:val="32"/>
        </w:rPr>
        <w:t>服务业增加值达到</w:t>
      </w:r>
      <w:r>
        <w:rPr>
          <w:rFonts w:ascii="仿宋_GB2312" w:hAnsi="华文仿宋" w:eastAsia="仿宋_GB2312" w:cs="华文仿宋"/>
          <w:color w:val="auto"/>
          <w:sz w:val="32"/>
          <w:szCs w:val="32"/>
        </w:rPr>
        <w:t>1550</w:t>
      </w:r>
      <w:r>
        <w:rPr>
          <w:rFonts w:hint="eastAsia" w:ascii="仿宋_GB2312" w:hAnsi="华文仿宋" w:eastAsia="仿宋_GB2312" w:cs="华文仿宋"/>
          <w:color w:val="auto"/>
          <w:sz w:val="32"/>
          <w:szCs w:val="32"/>
        </w:rPr>
        <w:t>亿元左右，占全市地区生产总值的比重达到</w:t>
      </w:r>
      <w:r>
        <w:rPr>
          <w:rFonts w:ascii="仿宋_GB2312" w:hAnsi="华文仿宋" w:eastAsia="仿宋_GB2312" w:cs="华文仿宋"/>
          <w:color w:val="auto"/>
          <w:sz w:val="32"/>
          <w:szCs w:val="32"/>
        </w:rPr>
        <w:t>48%</w:t>
      </w:r>
      <w:r>
        <w:rPr>
          <w:rFonts w:hint="eastAsia" w:ascii="仿宋_GB2312" w:hAnsi="华文仿宋" w:eastAsia="仿宋_GB2312" w:cs="华文仿宋"/>
          <w:color w:val="auto"/>
          <w:sz w:val="32"/>
          <w:szCs w:val="32"/>
        </w:rPr>
        <w:t>，生产性服务业增加值占比达到</w:t>
      </w:r>
      <w:r>
        <w:rPr>
          <w:rFonts w:ascii="仿宋_GB2312" w:hAnsi="华文仿宋" w:eastAsia="仿宋_GB2312" w:cs="华文仿宋"/>
          <w:color w:val="auto"/>
          <w:sz w:val="32"/>
          <w:szCs w:val="32"/>
        </w:rPr>
        <w:t>40%</w:t>
      </w:r>
      <w:r>
        <w:rPr>
          <w:rFonts w:hint="eastAsia" w:ascii="仿宋_GB2312" w:hAnsi="华文仿宋" w:eastAsia="仿宋_GB2312" w:cs="华文仿宋"/>
          <w:color w:val="auto"/>
          <w:sz w:val="32"/>
          <w:szCs w:val="32"/>
        </w:rPr>
        <w:t>，从业人员占全社会从业人员比重达</w:t>
      </w:r>
      <w:r>
        <w:rPr>
          <w:rFonts w:ascii="仿宋_GB2312" w:hAnsi="华文仿宋" w:eastAsia="仿宋_GB2312" w:cs="华文仿宋"/>
          <w:color w:val="auto"/>
          <w:sz w:val="32"/>
          <w:szCs w:val="32"/>
        </w:rPr>
        <w:t>47%</w:t>
      </w:r>
      <w:r>
        <w:rPr>
          <w:rFonts w:hint="eastAsia" w:ascii="仿宋_GB2312" w:hAnsi="华文仿宋" w:eastAsia="仿宋_GB2312" w:cs="华文仿宋"/>
          <w:color w:val="auto"/>
          <w:sz w:val="32"/>
          <w:szCs w:val="32"/>
        </w:rPr>
        <w:t>，服务业成为经济发展新引擎。传统服务业加速升级，品牌和区域影响力进一步提升。科技服务、信息服务、商务服务等新兴服务业发展实力大幅提升，涌现一批行业骨干企业。</w:t>
      </w:r>
    </w:p>
    <w:p>
      <w:pPr>
        <w:shd w:val="clear" w:color="auto" w:fill="FFFFFF"/>
        <w:spacing w:line="580" w:lineRule="exact"/>
        <w:ind w:firstLine="643" w:firstLineChars="200"/>
        <w:contextualSpacing/>
        <w:rPr>
          <w:rFonts w:ascii="仿宋_GB2312" w:hAnsi="Times New Roman" w:eastAsia="仿宋_GB2312"/>
          <w:color w:val="auto"/>
          <w:spacing w:val="8"/>
          <w:kern w:val="0"/>
          <w:sz w:val="32"/>
          <w:szCs w:val="32"/>
        </w:rPr>
      </w:pPr>
      <w:r>
        <w:rPr>
          <w:rFonts w:ascii="仿宋_GB2312" w:hAnsi="方正仿宋_GBK" w:eastAsia="仿宋_GB2312" w:cs="方正仿宋_GBK"/>
          <w:b/>
          <w:bCs/>
          <w:color w:val="auto"/>
          <w:sz w:val="32"/>
          <w:szCs w:val="32"/>
        </w:rPr>
        <w:t>——</w:t>
      </w:r>
      <w:bookmarkStart w:id="15" w:name="_Hlk85468797"/>
      <w:r>
        <w:rPr>
          <w:rFonts w:hint="eastAsia" w:ascii="仿宋_GB2312" w:hAnsi="方正仿宋_GBK" w:eastAsia="仿宋_GB2312" w:cs="方正仿宋_GBK"/>
          <w:b/>
          <w:bCs/>
          <w:color w:val="auto"/>
          <w:sz w:val="32"/>
          <w:szCs w:val="32"/>
        </w:rPr>
        <w:t>创新能力显著提升，跨界融合</w:t>
      </w:r>
      <w:bookmarkEnd w:id="15"/>
      <w:r>
        <w:rPr>
          <w:rFonts w:hint="eastAsia" w:ascii="仿宋_GB2312" w:hAnsi="方正仿宋_GBK" w:eastAsia="仿宋_GB2312" w:cs="方正仿宋_GBK"/>
          <w:b/>
          <w:bCs/>
          <w:color w:val="auto"/>
          <w:sz w:val="32"/>
          <w:szCs w:val="32"/>
        </w:rPr>
        <w:t>步伐加快。</w:t>
      </w:r>
      <w:r>
        <w:rPr>
          <w:rFonts w:hint="eastAsia" w:ascii="仿宋_GB2312" w:hAnsi="Times New Roman" w:eastAsia="仿宋_GB2312"/>
          <w:color w:val="auto"/>
          <w:sz w:val="32"/>
          <w:szCs w:val="32"/>
        </w:rPr>
        <w:t>人工智能、云计算、</w:t>
      </w:r>
      <w:r>
        <w:rPr>
          <w:rFonts w:hint="eastAsia" w:ascii="仿宋_GB2312" w:hAnsi="华文仿宋" w:eastAsia="仿宋_GB2312" w:cs="华文仿宋"/>
          <w:color w:val="auto"/>
          <w:sz w:val="32"/>
          <w:szCs w:val="32"/>
        </w:rPr>
        <w:t>大数据、</w:t>
      </w:r>
      <w:r>
        <w:rPr>
          <w:rFonts w:ascii="仿宋_GB2312" w:hAnsi="华文仿宋" w:eastAsia="仿宋_GB2312" w:cs="华文仿宋"/>
          <w:color w:val="auto"/>
          <w:sz w:val="32"/>
          <w:szCs w:val="32"/>
        </w:rPr>
        <w:t>5G</w:t>
      </w:r>
      <w:r>
        <w:rPr>
          <w:rFonts w:hint="eastAsia" w:ascii="仿宋_GB2312" w:hAnsi="华文仿宋" w:eastAsia="仿宋_GB2312" w:cs="华文仿宋"/>
          <w:color w:val="auto"/>
          <w:sz w:val="32"/>
          <w:szCs w:val="32"/>
        </w:rPr>
        <w:t>等新一代信息技术在服务业领域不断渗透融合，国家高新技术企业达到</w:t>
      </w:r>
      <w:r>
        <w:rPr>
          <w:rFonts w:ascii="仿宋_GB2312" w:hAnsi="华文仿宋" w:eastAsia="仿宋_GB2312" w:cs="华文仿宋"/>
          <w:color w:val="auto"/>
          <w:sz w:val="32"/>
          <w:szCs w:val="32"/>
        </w:rPr>
        <w:t>400</w:t>
      </w:r>
      <w:r>
        <w:rPr>
          <w:rFonts w:hint="eastAsia" w:ascii="仿宋_GB2312" w:hAnsi="华文仿宋" w:eastAsia="仿宋_GB2312" w:cs="华文仿宋"/>
          <w:color w:val="auto"/>
          <w:sz w:val="32"/>
          <w:szCs w:val="32"/>
        </w:rPr>
        <w:t>家，规模以上工业企业研发机构实现全覆盖。服务业与农业、制</w:t>
      </w:r>
      <w:r>
        <w:rPr>
          <w:rFonts w:hint="eastAsia" w:ascii="仿宋_GB2312" w:hAnsi="Times New Roman" w:eastAsia="仿宋_GB2312"/>
          <w:color w:val="auto"/>
          <w:sz w:val="32"/>
          <w:szCs w:val="32"/>
        </w:rPr>
        <w:t>造业及服务业不同领域间的相互渗透融合成为主流，着力培育一批创新活跃、带动效应突出的深度融合发展的企业、平台。</w:t>
      </w:r>
    </w:p>
    <w:p>
      <w:pPr>
        <w:shd w:val="clear" w:color="auto" w:fill="FFFFFF"/>
        <w:spacing w:line="580" w:lineRule="exact"/>
        <w:ind w:firstLine="643" w:firstLineChars="200"/>
        <w:rPr>
          <w:rFonts w:ascii="仿宋_GB2312" w:hAnsi="Times New Roman" w:eastAsia="仿宋_GB2312"/>
          <w:color w:val="auto"/>
          <w:sz w:val="32"/>
          <w:szCs w:val="32"/>
        </w:rPr>
      </w:pPr>
      <w:r>
        <w:rPr>
          <w:rFonts w:ascii="仿宋_GB2312" w:hAnsi="方正仿宋_GBK" w:eastAsia="仿宋_GB2312" w:cs="方正仿宋_GBK"/>
          <w:b/>
          <w:bCs/>
          <w:color w:val="auto"/>
          <w:sz w:val="32"/>
          <w:szCs w:val="32"/>
        </w:rPr>
        <w:t>——</w:t>
      </w:r>
      <w:bookmarkStart w:id="16" w:name="_Hlk85468817"/>
      <w:r>
        <w:rPr>
          <w:rFonts w:hint="eastAsia" w:ascii="仿宋_GB2312" w:hAnsi="方正仿宋_GBK" w:eastAsia="仿宋_GB2312" w:cs="方正仿宋_GBK"/>
          <w:b/>
          <w:bCs/>
          <w:color w:val="auto"/>
          <w:sz w:val="32"/>
          <w:szCs w:val="32"/>
        </w:rPr>
        <w:t>集聚水平</w:t>
      </w:r>
      <w:bookmarkEnd w:id="16"/>
      <w:r>
        <w:rPr>
          <w:rFonts w:hint="eastAsia" w:ascii="仿宋_GB2312" w:hAnsi="方正仿宋_GBK" w:eastAsia="仿宋_GB2312" w:cs="方正仿宋_GBK"/>
          <w:b/>
          <w:bCs/>
          <w:color w:val="auto"/>
          <w:sz w:val="32"/>
          <w:szCs w:val="32"/>
        </w:rPr>
        <w:t>明显提升，空间布局不断优化。</w:t>
      </w:r>
      <w:r>
        <w:rPr>
          <w:rFonts w:hint="eastAsia" w:ascii="仿宋_GB2312" w:hAnsi="Times New Roman" w:eastAsia="仿宋_GB2312"/>
          <w:color w:val="auto"/>
          <w:sz w:val="32"/>
          <w:szCs w:val="32"/>
        </w:rPr>
        <w:t>服务业载体蓬勃发展，</w:t>
      </w:r>
      <w:r>
        <w:rPr>
          <w:rFonts w:hint="eastAsia" w:ascii="仿宋_GB2312" w:hAnsi="华文仿宋" w:eastAsia="仿宋_GB2312" w:cs="华文仿宋"/>
          <w:color w:val="auto"/>
          <w:sz w:val="32"/>
          <w:szCs w:val="32"/>
        </w:rPr>
        <w:t>打造</w:t>
      </w:r>
      <w:r>
        <w:rPr>
          <w:rFonts w:ascii="仿宋_GB2312" w:hAnsi="华文仿宋" w:eastAsia="仿宋_GB2312" w:cs="华文仿宋"/>
          <w:color w:val="auto"/>
          <w:sz w:val="32"/>
          <w:szCs w:val="32"/>
        </w:rPr>
        <w:t>10</w:t>
      </w:r>
      <w:r>
        <w:rPr>
          <w:rFonts w:hint="eastAsia" w:ascii="仿宋_GB2312" w:hAnsi="华文仿宋" w:eastAsia="仿宋_GB2312" w:cs="华文仿宋"/>
          <w:color w:val="auto"/>
          <w:sz w:val="32"/>
          <w:szCs w:val="32"/>
        </w:rPr>
        <w:t>个</w:t>
      </w:r>
      <w:r>
        <w:rPr>
          <w:rFonts w:hint="eastAsia" w:ascii="仿宋_GB2312" w:hAnsi="Times New Roman" w:eastAsia="仿宋_GB2312"/>
          <w:color w:val="auto"/>
          <w:sz w:val="32"/>
          <w:szCs w:val="32"/>
        </w:rPr>
        <w:t>左右营业收入超十亿元的服务业集群，成为服务业高质量发展的新高地。服务空间布局不断优化，打造“一核两轴四区多点”的空间布局，重点强化中心城区服务业核心引擎地位，推动各县域服务业特色发展，不断扩大楼宇经济规模。</w:t>
      </w:r>
    </w:p>
    <w:p>
      <w:pPr>
        <w:shd w:val="clear" w:color="auto" w:fill="FFFFFF"/>
        <w:spacing w:line="580" w:lineRule="exact"/>
        <w:ind w:firstLine="643" w:firstLineChars="200"/>
        <w:rPr>
          <w:rFonts w:ascii="仿宋_GB2312" w:hAnsi="华文仿宋" w:eastAsia="仿宋_GB2312" w:cs="华文仿宋"/>
          <w:color w:val="auto"/>
          <w:sz w:val="32"/>
          <w:szCs w:val="32"/>
        </w:rPr>
      </w:pPr>
      <w:r>
        <w:rPr>
          <w:rFonts w:ascii="仿宋_GB2312" w:hAnsi="方正仿宋_GBK" w:eastAsia="仿宋_GB2312" w:cs="方正仿宋_GBK"/>
          <w:b/>
          <w:bCs/>
          <w:color w:val="auto"/>
          <w:sz w:val="32"/>
          <w:szCs w:val="32"/>
        </w:rPr>
        <w:t>——</w:t>
      </w:r>
      <w:bookmarkStart w:id="17" w:name="_Hlk85468832"/>
      <w:r>
        <w:rPr>
          <w:rFonts w:hint="eastAsia" w:ascii="仿宋_GB2312" w:hAnsi="方正仿宋_GBK" w:eastAsia="仿宋_GB2312" w:cs="方正仿宋_GBK"/>
          <w:b/>
          <w:bCs/>
          <w:color w:val="auto"/>
          <w:sz w:val="32"/>
          <w:szCs w:val="32"/>
        </w:rPr>
        <w:t>对外开放</w:t>
      </w:r>
      <w:bookmarkEnd w:id="17"/>
      <w:r>
        <w:rPr>
          <w:rFonts w:hint="eastAsia" w:ascii="仿宋_GB2312" w:hAnsi="方正仿宋_GBK" w:eastAsia="仿宋_GB2312" w:cs="方正仿宋_GBK"/>
          <w:b/>
          <w:bCs/>
          <w:color w:val="auto"/>
          <w:sz w:val="32"/>
          <w:szCs w:val="32"/>
        </w:rPr>
        <w:t>大幅提升，区域合作不断深化。</w:t>
      </w:r>
      <w:r>
        <w:rPr>
          <w:rFonts w:hint="eastAsia" w:ascii="仿宋_GB2312" w:hAnsi="Times New Roman" w:eastAsia="仿宋_GB2312"/>
          <w:color w:val="auto"/>
          <w:sz w:val="32"/>
          <w:szCs w:val="32"/>
        </w:rPr>
        <w:t>服务业对外开放领域和范围进一步扩大，深化外贸转型升级，加快发展跨境电商，创新发展服务贸易，引领提升区域合作水平，文化旅游、现代物流、现代商贸等优势产业在全省竞争中占</w:t>
      </w:r>
      <w:r>
        <w:rPr>
          <w:rFonts w:hint="eastAsia" w:ascii="仿宋_GB2312" w:hAnsi="华文仿宋" w:eastAsia="仿宋_GB2312" w:cs="华文仿宋"/>
          <w:color w:val="auto"/>
          <w:sz w:val="32"/>
          <w:szCs w:val="32"/>
        </w:rPr>
        <w:t>据一席之地。到</w:t>
      </w:r>
      <w:r>
        <w:rPr>
          <w:rFonts w:ascii="仿宋_GB2312" w:hAnsi="华文仿宋" w:eastAsia="仿宋_GB2312" w:cs="华文仿宋"/>
          <w:color w:val="auto"/>
          <w:sz w:val="32"/>
          <w:szCs w:val="32"/>
        </w:rPr>
        <w:t>2025</w:t>
      </w:r>
      <w:r>
        <w:rPr>
          <w:rFonts w:hint="eastAsia" w:ascii="仿宋_GB2312" w:hAnsi="华文仿宋" w:eastAsia="仿宋_GB2312" w:cs="华文仿宋"/>
          <w:color w:val="auto"/>
          <w:sz w:val="32"/>
          <w:szCs w:val="32"/>
        </w:rPr>
        <w:t>年，全市服务贸易进出口总额超过</w:t>
      </w:r>
      <w:r>
        <w:rPr>
          <w:rFonts w:ascii="仿宋_GB2312" w:hAnsi="华文仿宋" w:eastAsia="仿宋_GB2312" w:cs="华文仿宋"/>
          <w:color w:val="auto"/>
          <w:sz w:val="32"/>
          <w:szCs w:val="32"/>
        </w:rPr>
        <w:t>1.2</w:t>
      </w:r>
      <w:r>
        <w:rPr>
          <w:rFonts w:hint="eastAsia" w:ascii="仿宋_GB2312" w:hAnsi="华文仿宋" w:eastAsia="仿宋_GB2312" w:cs="华文仿宋"/>
          <w:color w:val="auto"/>
          <w:sz w:val="32"/>
          <w:szCs w:val="32"/>
        </w:rPr>
        <w:t>亿美元，服务业实际利用外资超过</w:t>
      </w:r>
      <w:r>
        <w:rPr>
          <w:rFonts w:ascii="仿宋_GB2312" w:hAnsi="华文仿宋" w:eastAsia="仿宋_GB2312" w:cs="华文仿宋"/>
          <w:color w:val="auto"/>
          <w:sz w:val="32"/>
          <w:szCs w:val="32"/>
        </w:rPr>
        <w:t>6.7</w:t>
      </w:r>
      <w:r>
        <w:rPr>
          <w:rFonts w:hint="eastAsia" w:ascii="仿宋_GB2312" w:hAnsi="华文仿宋" w:eastAsia="仿宋_GB2312" w:cs="华文仿宋"/>
          <w:color w:val="auto"/>
          <w:sz w:val="32"/>
          <w:szCs w:val="32"/>
        </w:rPr>
        <w:t>亿美元。</w:t>
      </w:r>
    </w:p>
    <w:p>
      <w:pPr>
        <w:pStyle w:val="5"/>
        <w:spacing w:line="580" w:lineRule="exact"/>
        <w:ind w:left="0" w:leftChars="0" w:firstLine="640" w:firstLineChars="200"/>
        <w:rPr>
          <w:rFonts w:ascii="仿宋_GB2312" w:hAnsi="Times New Roman" w:eastAsia="仿宋_GB2312"/>
          <w:color w:val="auto"/>
          <w:sz w:val="32"/>
          <w:szCs w:val="32"/>
        </w:rPr>
      </w:pPr>
      <w:r>
        <w:rPr>
          <w:rFonts w:hint="eastAsia" w:ascii="仿宋_GB2312" w:hAnsi="华文仿宋" w:eastAsia="仿宋_GB2312" w:cs="华文仿宋"/>
          <w:color w:val="auto"/>
          <w:sz w:val="32"/>
          <w:szCs w:val="32"/>
        </w:rPr>
        <w:t>到</w:t>
      </w:r>
      <w:r>
        <w:rPr>
          <w:rFonts w:ascii="仿宋_GB2312" w:hAnsi="华文仿宋" w:eastAsia="仿宋_GB2312" w:cs="华文仿宋"/>
          <w:color w:val="auto"/>
          <w:sz w:val="32"/>
          <w:szCs w:val="32"/>
        </w:rPr>
        <w:t>2035</w:t>
      </w:r>
      <w:r>
        <w:rPr>
          <w:rFonts w:hint="eastAsia" w:ascii="仿宋_GB2312" w:hAnsi="华文仿宋" w:eastAsia="仿宋_GB2312" w:cs="华文仿宋"/>
          <w:color w:val="auto"/>
          <w:sz w:val="32"/>
          <w:szCs w:val="32"/>
        </w:rPr>
        <w:t>年，发展形成高效专业的生产性服务业体系和</w:t>
      </w:r>
      <w:r>
        <w:rPr>
          <w:rFonts w:hint="eastAsia" w:ascii="仿宋_GB2312" w:hAnsi="Times New Roman" w:eastAsia="仿宋_GB2312"/>
          <w:color w:val="auto"/>
          <w:sz w:val="32"/>
          <w:szCs w:val="32"/>
        </w:rPr>
        <w:t>优质便捷的生活性服务业体系，现代服务业</w:t>
      </w:r>
      <w:r>
        <w:rPr>
          <w:rFonts w:hint="eastAsia" w:ascii="仿宋_GB2312" w:eastAsia="仿宋_GB2312"/>
          <w:color w:val="auto"/>
          <w:sz w:val="32"/>
          <w:szCs w:val="32"/>
        </w:rPr>
        <w:t>成为安阳质量型增长</w:t>
      </w:r>
      <w:r>
        <w:rPr>
          <w:rFonts w:hint="eastAsia" w:ascii="仿宋_GB2312" w:eastAsia="仿宋_GB2312"/>
          <w:color w:val="auto"/>
          <w:sz w:val="32"/>
          <w:szCs w:val="32"/>
          <w:lang w:eastAsia="zh-CN"/>
        </w:rPr>
        <w:t>、</w:t>
      </w:r>
      <w:r>
        <w:rPr>
          <w:rFonts w:hint="eastAsia" w:ascii="仿宋_GB2312" w:eastAsia="仿宋_GB2312"/>
          <w:color w:val="auto"/>
          <w:sz w:val="32"/>
          <w:szCs w:val="32"/>
        </w:rPr>
        <w:t>内涵式发展的重要驱动力</w:t>
      </w:r>
      <w:r>
        <w:rPr>
          <w:rFonts w:hint="eastAsia" w:ascii="仿宋_GB2312" w:hAnsi="Times New Roman" w:eastAsia="仿宋_GB2312"/>
          <w:color w:val="auto"/>
          <w:sz w:val="32"/>
          <w:szCs w:val="32"/>
        </w:rPr>
        <w:t>，成为具有区域影响力的现代服务经济中心。</w:t>
      </w:r>
    </w:p>
    <w:tbl>
      <w:tblPr>
        <w:tblStyle w:val="16"/>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4760"/>
        <w:gridCol w:w="940"/>
        <w:gridCol w:w="96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736" w:type="dxa"/>
            <w:gridSpan w:val="5"/>
            <w:noWrap/>
            <w:vAlign w:val="center"/>
          </w:tcPr>
          <w:p>
            <w:pPr>
              <w:widowControl/>
              <w:spacing w:line="520" w:lineRule="exact"/>
              <w:jc w:val="center"/>
              <w:rPr>
                <w:rFonts w:ascii="Times New Roman" w:hAnsi="Times New Roman"/>
                <w:b/>
                <w:bCs/>
                <w:color w:val="auto"/>
                <w:kern w:val="0"/>
                <w:sz w:val="22"/>
              </w:rPr>
            </w:pPr>
            <w:r>
              <w:rPr>
                <w:rFonts w:hint="eastAsia" w:ascii="Times New Roman" w:hAnsi="Times New Roman" w:eastAsia="黑体"/>
                <w:color w:val="auto"/>
                <w:sz w:val="24"/>
                <w:szCs w:val="28"/>
              </w:rPr>
              <w:t>专栏</w:t>
            </w:r>
            <w:r>
              <w:rPr>
                <w:rFonts w:ascii="Times New Roman" w:hAnsi="Times New Roman" w:eastAsia="黑体"/>
                <w:color w:val="auto"/>
                <w:sz w:val="24"/>
                <w:szCs w:val="28"/>
              </w:rPr>
              <w:t>2.1  “</w:t>
            </w:r>
            <w:r>
              <w:rPr>
                <w:rFonts w:hint="eastAsia" w:ascii="Times New Roman" w:hAnsi="Times New Roman" w:eastAsia="黑体"/>
                <w:color w:val="auto"/>
                <w:sz w:val="24"/>
                <w:szCs w:val="28"/>
              </w:rPr>
              <w:t>十四五</w:t>
            </w:r>
            <w:r>
              <w:rPr>
                <w:rFonts w:ascii="Times New Roman" w:hAnsi="Times New Roman" w:eastAsia="黑体"/>
                <w:color w:val="auto"/>
                <w:sz w:val="24"/>
                <w:szCs w:val="28"/>
              </w:rPr>
              <w:t>”</w:t>
            </w:r>
            <w:r>
              <w:rPr>
                <w:rFonts w:hint="eastAsia" w:ascii="Times New Roman" w:hAnsi="Times New Roman" w:eastAsia="黑体"/>
                <w:color w:val="auto"/>
                <w:sz w:val="24"/>
                <w:szCs w:val="28"/>
              </w:rPr>
              <w:t>时期现代服务业发展主要指标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24"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指标类别</w:t>
            </w: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指标名称</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2020</w:t>
            </w:r>
            <w:r>
              <w:rPr>
                <w:rFonts w:hint="eastAsia" w:ascii="宋体" w:hAnsi="宋体" w:cs="宋体"/>
                <w:color w:val="auto"/>
                <w:kern w:val="0"/>
                <w:sz w:val="22"/>
              </w:rPr>
              <w:t>年基数</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2025</w:t>
            </w:r>
            <w:r>
              <w:rPr>
                <w:rFonts w:hint="eastAsia" w:ascii="宋体" w:hAnsi="宋体" w:cs="宋体"/>
                <w:color w:val="auto"/>
                <w:kern w:val="0"/>
                <w:sz w:val="22"/>
              </w:rPr>
              <w:t>年目标</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24" w:type="dxa"/>
            <w:vMerge w:val="restart"/>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总量规模</w:t>
            </w: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服务业增加值（亿元）</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1052.9</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1550</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color w:val="auto"/>
                <w:kern w:val="0"/>
                <w:sz w:val="22"/>
              </w:rPr>
            </w:pPr>
          </w:p>
        </w:tc>
        <w:tc>
          <w:tcPr>
            <w:tcW w:w="4760" w:type="dxa"/>
            <w:noWrap/>
            <w:vAlign w:val="center"/>
          </w:tcPr>
          <w:p>
            <w:pPr>
              <w:widowControl/>
              <w:spacing w:line="440" w:lineRule="exact"/>
              <w:jc w:val="center"/>
              <w:rPr>
                <w:rFonts w:ascii="宋体"/>
                <w:color w:val="auto"/>
                <w:kern w:val="0"/>
                <w:szCs w:val="21"/>
              </w:rPr>
            </w:pPr>
            <w:bookmarkStart w:id="18" w:name="_Hlk82875999"/>
            <w:r>
              <w:rPr>
                <w:rFonts w:hint="eastAsia" w:ascii="宋体" w:hAnsi="宋体" w:cs="宋体"/>
                <w:color w:val="auto"/>
                <w:kern w:val="0"/>
                <w:sz w:val="22"/>
              </w:rPr>
              <w:t>生产性服务业增加值</w:t>
            </w:r>
            <w:bookmarkEnd w:id="18"/>
            <w:r>
              <w:rPr>
                <w:rFonts w:hint="eastAsia" w:ascii="宋体" w:hAnsi="宋体" w:cs="宋体"/>
                <w:color w:val="auto"/>
                <w:kern w:val="0"/>
                <w:sz w:val="22"/>
              </w:rPr>
              <w:t>（亿元）</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400.6</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620</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color w:val="auto"/>
                <w:kern w:val="0"/>
                <w:sz w:val="22"/>
              </w:rPr>
            </w:pPr>
          </w:p>
        </w:tc>
        <w:tc>
          <w:tcPr>
            <w:tcW w:w="4760" w:type="dxa"/>
            <w:noWrap/>
            <w:vAlign w:val="center"/>
          </w:tcPr>
          <w:p>
            <w:pPr>
              <w:widowControl/>
              <w:spacing w:line="440" w:lineRule="exact"/>
              <w:jc w:val="center"/>
              <w:rPr>
                <w:rFonts w:ascii="宋体"/>
                <w:color w:val="auto"/>
                <w:kern w:val="0"/>
                <w:sz w:val="22"/>
              </w:rPr>
            </w:pPr>
            <w:bookmarkStart w:id="19" w:name="_Hlk82875962"/>
            <w:r>
              <w:rPr>
                <w:rFonts w:hint="eastAsia" w:ascii="宋体" w:hAnsi="宋体" w:cs="宋体"/>
                <w:color w:val="auto"/>
                <w:kern w:val="0"/>
                <w:sz w:val="22"/>
              </w:rPr>
              <w:t>全社会消费品零售总额</w:t>
            </w:r>
            <w:bookmarkEnd w:id="19"/>
            <w:r>
              <w:rPr>
                <w:rFonts w:hint="eastAsia" w:ascii="宋体" w:hAnsi="宋体" w:cs="宋体"/>
                <w:color w:val="auto"/>
                <w:kern w:val="0"/>
                <w:sz w:val="22"/>
              </w:rPr>
              <w:t>（亿元）</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856.4</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1200</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restart"/>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质量效益</w:t>
            </w: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服务业增加值占</w:t>
            </w:r>
            <w:r>
              <w:rPr>
                <w:rFonts w:ascii="宋体" w:hAnsi="宋体"/>
                <w:color w:val="auto"/>
                <w:kern w:val="0"/>
                <w:sz w:val="22"/>
              </w:rPr>
              <w:t>GDP</w:t>
            </w:r>
            <w:r>
              <w:rPr>
                <w:rFonts w:hint="eastAsia" w:ascii="宋体" w:hAnsi="宋体" w:cs="宋体"/>
                <w:color w:val="auto"/>
                <w:kern w:val="0"/>
                <w:sz w:val="22"/>
              </w:rPr>
              <w:t>的比重（</w:t>
            </w:r>
            <w:r>
              <w:rPr>
                <w:rFonts w:ascii="宋体" w:hAnsi="宋体"/>
                <w:color w:val="auto"/>
                <w:kern w:val="0"/>
                <w:sz w:val="22"/>
              </w:rPr>
              <w:t>%</w:t>
            </w:r>
            <w:r>
              <w:rPr>
                <w:rFonts w:hint="eastAsia" w:ascii="宋体" w:hAnsi="宋体" w:cs="宋体"/>
                <w:color w:val="auto"/>
                <w:kern w:val="0"/>
                <w:sz w:val="22"/>
              </w:rPr>
              <w:t>）</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45.8</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48</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color w:val="auto"/>
                <w:kern w:val="0"/>
                <w:sz w:val="22"/>
              </w:rPr>
            </w:pPr>
            <w:bookmarkStart w:id="20" w:name="_Hlk82876112"/>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生产性服务业增加值占服务业增加值比重（</w:t>
            </w:r>
            <w:r>
              <w:rPr>
                <w:rFonts w:ascii="宋体" w:hAnsi="宋体"/>
                <w:color w:val="auto"/>
                <w:kern w:val="0"/>
                <w:sz w:val="22"/>
              </w:rPr>
              <w:t>%</w:t>
            </w:r>
            <w:r>
              <w:rPr>
                <w:rFonts w:hint="eastAsia" w:ascii="宋体" w:hAnsi="宋体" w:cs="宋体"/>
                <w:color w:val="auto"/>
                <w:kern w:val="0"/>
                <w:sz w:val="22"/>
              </w:rPr>
              <w:t>）</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38</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40</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color w:val="auto"/>
                <w:kern w:val="0"/>
                <w:sz w:val="22"/>
              </w:rPr>
            </w:pP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服务业固定资产投资占全市投资总额比重（</w:t>
            </w:r>
            <w:r>
              <w:rPr>
                <w:rFonts w:ascii="宋体" w:hAnsi="宋体"/>
                <w:color w:val="auto"/>
                <w:kern w:val="0"/>
                <w:sz w:val="22"/>
              </w:rPr>
              <w:t>%</w:t>
            </w:r>
            <w:r>
              <w:rPr>
                <w:rFonts w:hint="eastAsia" w:ascii="宋体" w:hAnsi="宋体" w:cs="宋体"/>
                <w:color w:val="auto"/>
                <w:kern w:val="0"/>
                <w:sz w:val="22"/>
              </w:rPr>
              <w:t>）</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70.1</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65</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color w:val="auto"/>
                <w:kern w:val="0"/>
                <w:sz w:val="22"/>
              </w:rPr>
            </w:pP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服务业从业人员占全社会从业人员比重（</w:t>
            </w:r>
            <w:r>
              <w:rPr>
                <w:rFonts w:ascii="宋体" w:hAnsi="宋体"/>
                <w:color w:val="auto"/>
                <w:kern w:val="0"/>
                <w:sz w:val="22"/>
              </w:rPr>
              <w:t>%</w:t>
            </w:r>
            <w:r>
              <w:rPr>
                <w:rFonts w:hint="eastAsia" w:ascii="宋体" w:hAnsi="宋体" w:cs="宋体"/>
                <w:color w:val="auto"/>
                <w:kern w:val="0"/>
                <w:sz w:val="22"/>
              </w:rPr>
              <w:t>）</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42</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47</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restart"/>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创新水平</w:t>
            </w: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全社会研发投入年均增长（</w:t>
            </w:r>
            <w:r>
              <w:rPr>
                <w:rFonts w:ascii="宋体" w:hAnsi="宋体"/>
                <w:color w:val="auto"/>
                <w:kern w:val="0"/>
                <w:sz w:val="22"/>
              </w:rPr>
              <w:t>%</w:t>
            </w:r>
            <w:r>
              <w:rPr>
                <w:rFonts w:hint="eastAsia" w:ascii="宋体" w:hAnsi="宋体" w:cs="宋体"/>
                <w:color w:val="auto"/>
                <w:kern w:val="0"/>
                <w:sz w:val="22"/>
              </w:rPr>
              <w:t>）</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13</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21</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color w:val="auto"/>
                <w:kern w:val="0"/>
                <w:sz w:val="22"/>
              </w:rPr>
            </w:pP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高新技术企业数量（家）</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164</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400</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restart"/>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对外开放</w:t>
            </w: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服务贸易进出口总额（亿美元）</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0.95</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1.21</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124" w:type="dxa"/>
            <w:vMerge w:val="continue"/>
            <w:vAlign w:val="center"/>
          </w:tcPr>
          <w:p>
            <w:pPr>
              <w:widowControl/>
              <w:spacing w:line="440" w:lineRule="exact"/>
              <w:jc w:val="center"/>
              <w:rPr>
                <w:rFonts w:ascii="宋体"/>
                <w:b/>
                <w:bCs/>
                <w:color w:val="auto"/>
                <w:kern w:val="0"/>
                <w:sz w:val="22"/>
              </w:rPr>
            </w:pPr>
          </w:p>
        </w:tc>
        <w:tc>
          <w:tcPr>
            <w:tcW w:w="476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实际利用外商投资（亿美元）</w:t>
            </w:r>
          </w:p>
        </w:tc>
        <w:tc>
          <w:tcPr>
            <w:tcW w:w="940" w:type="dxa"/>
          </w:tcPr>
          <w:p>
            <w:pPr>
              <w:widowControl/>
              <w:spacing w:line="440" w:lineRule="exact"/>
              <w:jc w:val="center"/>
              <w:rPr>
                <w:rFonts w:ascii="宋体"/>
                <w:color w:val="auto"/>
                <w:kern w:val="0"/>
                <w:sz w:val="22"/>
              </w:rPr>
            </w:pPr>
            <w:r>
              <w:rPr>
                <w:rFonts w:ascii="宋体" w:hAnsi="宋体" w:cs="华文仿宋"/>
                <w:color w:val="auto"/>
                <w:kern w:val="0"/>
                <w:sz w:val="22"/>
              </w:rPr>
              <w:t>5.9</w:t>
            </w:r>
          </w:p>
        </w:tc>
        <w:tc>
          <w:tcPr>
            <w:tcW w:w="962" w:type="dxa"/>
            <w:noWrap/>
            <w:vAlign w:val="center"/>
          </w:tcPr>
          <w:p>
            <w:pPr>
              <w:widowControl/>
              <w:spacing w:line="440" w:lineRule="exact"/>
              <w:jc w:val="center"/>
              <w:rPr>
                <w:rFonts w:ascii="宋体"/>
                <w:color w:val="auto"/>
                <w:kern w:val="0"/>
                <w:sz w:val="22"/>
              </w:rPr>
            </w:pPr>
            <w:r>
              <w:rPr>
                <w:rFonts w:ascii="宋体" w:hAnsi="宋体" w:cs="华文仿宋"/>
                <w:color w:val="auto"/>
                <w:kern w:val="0"/>
                <w:sz w:val="22"/>
              </w:rPr>
              <w:t>6.78</w:t>
            </w:r>
          </w:p>
        </w:tc>
        <w:tc>
          <w:tcPr>
            <w:tcW w:w="950" w:type="dxa"/>
            <w:noWrap/>
            <w:vAlign w:val="center"/>
          </w:tcPr>
          <w:p>
            <w:pPr>
              <w:widowControl/>
              <w:spacing w:line="440" w:lineRule="exact"/>
              <w:jc w:val="center"/>
              <w:rPr>
                <w:rFonts w:ascii="宋体"/>
                <w:color w:val="auto"/>
                <w:kern w:val="0"/>
                <w:sz w:val="22"/>
              </w:rPr>
            </w:pPr>
            <w:r>
              <w:rPr>
                <w:rFonts w:hint="eastAsia" w:ascii="宋体" w:hAnsi="宋体" w:cs="宋体"/>
                <w:color w:val="auto"/>
                <w:kern w:val="0"/>
                <w:sz w:val="22"/>
              </w:rPr>
              <w:t>预期性</w:t>
            </w:r>
          </w:p>
        </w:tc>
      </w:tr>
    </w:tbl>
    <w:p>
      <w:pPr>
        <w:pStyle w:val="2"/>
        <w:spacing w:line="580" w:lineRule="exact"/>
        <w:jc w:val="both"/>
        <w:rPr>
          <w:b w:val="0"/>
          <w:bCs w:val="0"/>
          <w:color w:val="auto"/>
        </w:rPr>
      </w:pPr>
      <w:bookmarkStart w:id="21" w:name="_Toc99813097"/>
      <w:r>
        <w:rPr>
          <w:b w:val="0"/>
          <w:bCs w:val="0"/>
          <w:color w:val="auto"/>
        </w:rPr>
        <w:t xml:space="preserve">    </w:t>
      </w:r>
      <w:r>
        <w:rPr>
          <w:rFonts w:hint="eastAsia"/>
          <w:b w:val="0"/>
          <w:bCs w:val="0"/>
          <w:color w:val="auto"/>
        </w:rPr>
        <w:t>三、构建产业新体系</w:t>
      </w:r>
      <w:bookmarkEnd w:id="21"/>
    </w:p>
    <w:p>
      <w:pPr>
        <w:pStyle w:val="12"/>
        <w:spacing w:line="580" w:lineRule="exact"/>
        <w:ind w:firstLine="640"/>
        <w:jc w:val="both"/>
        <w:rPr>
          <w:rFonts w:ascii="仿宋_GB2312" w:hAnsi="Times New Roman" w:eastAsia="仿宋_GB2312"/>
          <w:color w:val="auto"/>
          <w:kern w:val="2"/>
          <w:sz w:val="32"/>
          <w:szCs w:val="32"/>
        </w:rPr>
      </w:pPr>
      <w:r>
        <w:rPr>
          <w:rFonts w:hint="eastAsia" w:ascii="仿宋_GB2312" w:hAnsi="Times New Roman" w:eastAsia="仿宋_GB2312"/>
          <w:color w:val="auto"/>
          <w:kern w:val="2"/>
          <w:sz w:val="32"/>
          <w:szCs w:val="32"/>
        </w:rPr>
        <w:t>增强服务业重点领域资源配置能力，全面提升现代服务业效能，构筑服务业综合竞争新优势</w:t>
      </w:r>
      <w:r>
        <w:rPr>
          <w:rFonts w:hint="eastAsia" w:ascii="仿宋_GB2312" w:hAnsi="华文仿宋" w:eastAsia="仿宋_GB2312" w:cs="华文仿宋"/>
          <w:color w:val="auto"/>
          <w:kern w:val="2"/>
          <w:sz w:val="32"/>
          <w:szCs w:val="32"/>
        </w:rPr>
        <w:t>，统筹构建“</w:t>
      </w:r>
      <w:r>
        <w:rPr>
          <w:rFonts w:ascii="仿宋_GB2312" w:hAnsi="华文仿宋" w:eastAsia="仿宋_GB2312" w:cs="华文仿宋"/>
          <w:color w:val="auto"/>
          <w:kern w:val="2"/>
          <w:sz w:val="32"/>
          <w:szCs w:val="32"/>
        </w:rPr>
        <w:t>4+6+5</w:t>
      </w:r>
      <w:r>
        <w:rPr>
          <w:rFonts w:hint="eastAsia" w:ascii="仿宋_GB2312" w:hAnsi="华文仿宋" w:eastAsia="仿宋_GB2312" w:cs="华文仿宋"/>
          <w:color w:val="auto"/>
          <w:kern w:val="2"/>
          <w:sz w:val="32"/>
          <w:szCs w:val="32"/>
        </w:rPr>
        <w:t>”</w:t>
      </w:r>
      <w:r>
        <w:rPr>
          <w:rFonts w:hint="eastAsia" w:ascii="仿宋_GB2312" w:hAnsi="Times New Roman" w:eastAsia="仿宋_GB2312"/>
          <w:color w:val="auto"/>
          <w:kern w:val="2"/>
          <w:sz w:val="32"/>
          <w:szCs w:val="32"/>
        </w:rPr>
        <w:t>现代服务业体系，加快建设区域现代服务业发展高地，有力支撑经济高质量发展。</w:t>
      </w:r>
    </w:p>
    <w:tbl>
      <w:tblPr>
        <w:tblStyle w:val="16"/>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620" w:type="dxa"/>
          </w:tcPr>
          <w:p>
            <w:pPr>
              <w:spacing w:line="520" w:lineRule="exact"/>
              <w:jc w:val="center"/>
              <w:rPr>
                <w:rFonts w:ascii="黑体" w:hAnsi="黑体" w:eastAsia="黑体"/>
                <w:color w:val="auto"/>
                <w:kern w:val="0"/>
                <w:sz w:val="24"/>
                <w:szCs w:val="24"/>
              </w:rPr>
            </w:pPr>
            <w:r>
              <w:rPr>
                <w:rFonts w:hint="eastAsia" w:ascii="黑体" w:hAnsi="黑体" w:eastAsia="黑体" w:cs="宋体"/>
                <w:color w:val="auto"/>
                <w:kern w:val="0"/>
                <w:sz w:val="24"/>
                <w:szCs w:val="24"/>
              </w:rPr>
              <w:t>专栏</w:t>
            </w:r>
            <w:r>
              <w:rPr>
                <w:rFonts w:ascii="黑体" w:hAnsi="黑体" w:eastAsia="黑体"/>
                <w:color w:val="auto"/>
                <w:kern w:val="0"/>
                <w:sz w:val="24"/>
                <w:szCs w:val="24"/>
              </w:rPr>
              <w:t xml:space="preserve">3.1  </w:t>
            </w:r>
            <w:r>
              <w:rPr>
                <w:rFonts w:hint="eastAsia" w:ascii="黑体" w:hAnsi="黑体" w:eastAsia="黑体" w:cs="华文仿宋"/>
                <w:color w:val="auto"/>
                <w:kern w:val="0"/>
                <w:sz w:val="24"/>
                <w:szCs w:val="24"/>
              </w:rPr>
              <w:t>“</w:t>
            </w:r>
            <w:r>
              <w:rPr>
                <w:rFonts w:ascii="黑体" w:hAnsi="黑体" w:eastAsia="黑体" w:cs="华文仿宋"/>
                <w:color w:val="auto"/>
                <w:kern w:val="0"/>
                <w:sz w:val="24"/>
                <w:szCs w:val="24"/>
              </w:rPr>
              <w:t>4+6+5</w:t>
            </w:r>
            <w:r>
              <w:rPr>
                <w:rFonts w:hint="eastAsia" w:ascii="黑体" w:hAnsi="黑体" w:eastAsia="黑体" w:cs="华文仿宋"/>
                <w:color w:val="auto"/>
                <w:kern w:val="0"/>
                <w:sz w:val="24"/>
                <w:szCs w:val="24"/>
              </w:rPr>
              <w:t>”</w:t>
            </w:r>
            <w:r>
              <w:rPr>
                <w:rFonts w:hint="eastAsia" w:ascii="黑体" w:hAnsi="黑体" w:eastAsia="黑体" w:cs="宋体"/>
                <w:color w:val="auto"/>
                <w:kern w:val="0"/>
                <w:sz w:val="24"/>
                <w:szCs w:val="24"/>
              </w:rPr>
              <w:t>现代服务业产业体系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620" w:type="dxa"/>
          </w:tcPr>
          <w:p>
            <w:pPr>
              <w:spacing w:line="520" w:lineRule="exact"/>
              <w:ind w:firstLine="482" w:firstLineChars="200"/>
              <w:rPr>
                <w:rFonts w:ascii="宋体"/>
                <w:color w:val="auto"/>
                <w:kern w:val="0"/>
                <w:sz w:val="24"/>
                <w:szCs w:val="24"/>
              </w:rPr>
            </w:pPr>
            <w:r>
              <w:rPr>
                <w:rFonts w:ascii="宋体" w:hAnsi="宋体" w:cs="华文仿宋"/>
                <w:b/>
                <w:bCs/>
                <w:color w:val="auto"/>
                <w:kern w:val="0"/>
                <w:sz w:val="24"/>
                <w:szCs w:val="24"/>
              </w:rPr>
              <w:t>4</w:t>
            </w:r>
            <w:r>
              <w:rPr>
                <w:rFonts w:hint="eastAsia" w:ascii="宋体" w:hAnsi="宋体" w:cs="宋体"/>
                <w:b/>
                <w:bCs/>
                <w:color w:val="auto"/>
                <w:kern w:val="0"/>
                <w:sz w:val="24"/>
                <w:szCs w:val="24"/>
              </w:rPr>
              <w:t>大支柱型服务业。</w:t>
            </w:r>
            <w:r>
              <w:rPr>
                <w:rFonts w:hint="eastAsia" w:ascii="宋体" w:hAnsi="宋体" w:cs="宋体"/>
                <w:color w:val="auto"/>
                <w:kern w:val="0"/>
                <w:sz w:val="24"/>
                <w:szCs w:val="24"/>
              </w:rPr>
              <w:t>文化旅游、现代金融、现代物流、现代商贸。</w:t>
            </w:r>
          </w:p>
          <w:p>
            <w:pPr>
              <w:spacing w:line="520" w:lineRule="exact"/>
              <w:ind w:firstLine="482" w:firstLineChars="200"/>
              <w:rPr>
                <w:rFonts w:ascii="宋体"/>
                <w:color w:val="auto"/>
                <w:kern w:val="0"/>
                <w:sz w:val="24"/>
                <w:szCs w:val="24"/>
              </w:rPr>
            </w:pPr>
            <w:r>
              <w:rPr>
                <w:rFonts w:ascii="宋体" w:hAnsi="宋体" w:cs="华文仿宋"/>
                <w:b/>
                <w:bCs/>
                <w:color w:val="auto"/>
                <w:kern w:val="0"/>
                <w:sz w:val="24"/>
                <w:szCs w:val="24"/>
              </w:rPr>
              <w:t>6</w:t>
            </w:r>
            <w:r>
              <w:rPr>
                <w:rFonts w:hint="eastAsia" w:ascii="宋体" w:hAnsi="宋体" w:cs="宋体"/>
                <w:b/>
                <w:bCs/>
                <w:color w:val="auto"/>
                <w:kern w:val="0"/>
                <w:sz w:val="24"/>
                <w:szCs w:val="24"/>
              </w:rPr>
              <w:t>大成长型服务业。</w:t>
            </w:r>
            <w:r>
              <w:rPr>
                <w:rFonts w:hint="eastAsia" w:ascii="宋体" w:hAnsi="宋体" w:cs="宋体"/>
                <w:color w:val="auto"/>
                <w:kern w:val="0"/>
                <w:sz w:val="24"/>
                <w:szCs w:val="24"/>
              </w:rPr>
              <w:t>科技服务、信息服务、电子商务、商务服务、通航服务、节能环保服务。</w:t>
            </w:r>
          </w:p>
          <w:p>
            <w:pPr>
              <w:spacing w:line="520" w:lineRule="exact"/>
              <w:ind w:firstLine="482" w:firstLineChars="200"/>
              <w:rPr>
                <w:rFonts w:ascii="宋体"/>
                <w:color w:val="auto"/>
                <w:kern w:val="0"/>
                <w:sz w:val="24"/>
                <w:szCs w:val="24"/>
              </w:rPr>
            </w:pPr>
            <w:r>
              <w:rPr>
                <w:rFonts w:ascii="宋体" w:hAnsi="宋体" w:cs="华文仿宋"/>
                <w:b/>
                <w:bCs/>
                <w:color w:val="auto"/>
                <w:kern w:val="0"/>
                <w:sz w:val="24"/>
                <w:szCs w:val="24"/>
              </w:rPr>
              <w:t>5</w:t>
            </w:r>
            <w:r>
              <w:rPr>
                <w:rFonts w:hint="eastAsia" w:ascii="宋体" w:hAnsi="宋体" w:cs="宋体"/>
                <w:b/>
                <w:bCs/>
                <w:color w:val="auto"/>
                <w:kern w:val="0"/>
                <w:sz w:val="24"/>
                <w:szCs w:val="24"/>
              </w:rPr>
              <w:t>大基础型服务业。</w:t>
            </w:r>
            <w:r>
              <w:rPr>
                <w:rFonts w:hint="eastAsia" w:ascii="宋体" w:hAnsi="宋体" w:cs="宋体"/>
                <w:color w:val="auto"/>
                <w:kern w:val="0"/>
                <w:sz w:val="24"/>
                <w:szCs w:val="24"/>
              </w:rPr>
              <w:t>健康服务、养老育幼、教育培训、家政服务、房地产。</w:t>
            </w:r>
          </w:p>
        </w:tc>
      </w:tr>
    </w:tbl>
    <w:p>
      <w:pPr>
        <w:pStyle w:val="3"/>
        <w:spacing w:line="580" w:lineRule="exact"/>
        <w:rPr>
          <w:rFonts w:ascii="楷体_GB2312" w:hAnsi="华文楷体" w:eastAsia="楷体_GB2312" w:cs="华文楷体"/>
          <w:color w:val="auto"/>
        </w:rPr>
      </w:pPr>
      <w:bookmarkStart w:id="22" w:name="_Toc99813098"/>
      <w:r>
        <w:rPr>
          <w:rFonts w:ascii="楷体_GB2312" w:hAnsi="华文楷体" w:eastAsia="楷体_GB2312" w:cs="华文楷体"/>
          <w:color w:val="auto"/>
        </w:rPr>
        <w:t xml:space="preserve">    </w:t>
      </w:r>
      <w:r>
        <w:rPr>
          <w:rFonts w:hint="eastAsia" w:ascii="楷体_GB2312" w:hAnsi="华文楷体" w:eastAsia="楷体_GB2312" w:cs="华文楷体"/>
          <w:color w:val="auto"/>
        </w:rPr>
        <w:t>（一）大力发展支柱型服务业</w:t>
      </w:r>
      <w:bookmarkEnd w:id="22"/>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、文化旅游</w:t>
      </w:r>
    </w:p>
    <w:p>
      <w:pPr>
        <w:pStyle w:val="34"/>
        <w:spacing w:line="580" w:lineRule="exact"/>
        <w:ind w:firstLine="31680"/>
        <w:jc w:val="left"/>
        <w:rPr>
          <w:rFonts w:ascii="仿宋_GB2312" w:hAnsi="Times New Roman" w:eastAsia="仿宋_GB2312"/>
          <w:color w:val="auto"/>
          <w:sz w:val="32"/>
          <w:szCs w:val="32"/>
        </w:rPr>
      </w:pPr>
      <w:r>
        <w:rPr>
          <w:rFonts w:hint="eastAsia" w:ascii="仿宋_GB2312" w:hAnsi="华文仿宋" w:eastAsia="仿宋_GB2312" w:cs="华文仿宋"/>
          <w:color w:val="auto"/>
          <w:sz w:val="32"/>
          <w:szCs w:val="32"/>
        </w:rPr>
        <w:t>树立“大品牌、大格局、大产业、大服务、大市场”文旅发展思路，推进全域化发展、全产业融合、全要素配套，</w:t>
      </w:r>
      <w:bookmarkStart w:id="23" w:name="_Hlk82879142"/>
      <w:r>
        <w:rPr>
          <w:rFonts w:hint="eastAsia" w:ascii="仿宋_GB2312" w:hAnsi="华文仿宋" w:eastAsia="仿宋_GB2312" w:cs="华文仿宋"/>
          <w:color w:val="auto"/>
          <w:sz w:val="32"/>
          <w:szCs w:val="32"/>
        </w:rPr>
        <w:t>真正将历史文化资源与自然生态资源转化为产业发展新优势，打造千亿级文化旅游产业集群，建设全国文化旅游强市。</w:t>
      </w:r>
      <w:bookmarkEnd w:id="23"/>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大品牌引领，大格局建设。</w:t>
      </w:r>
      <w:r>
        <w:rPr>
          <w:rFonts w:hint="eastAsia" w:ascii="仿宋_GB2312" w:hAnsi="华文仿宋" w:eastAsia="仿宋_GB2312" w:cs="华文仿宋"/>
          <w:color w:val="auto"/>
          <w:sz w:val="32"/>
          <w:szCs w:val="32"/>
        </w:rPr>
        <w:t>以世界文化遗产殷墟为核心，建设展示中华民族精神图腾的上古殷商文化旅游区，打造以殷墟甲骨文为核心的“中国字都”城市品牌。深入挖掘红旗渠精神的现实意义和时代价值，积极推动红旗渠纳入世界文化遗产名录，打造以红旗渠为基底的红色旅游品牌，做强“中国研学旅游目的地”品牌。建设国际知名的殷墟、红旗渠·太行大峡谷两大文化旅游发展极核，构建主题鲜明的历史文化、山水度假、乡村休闲、工</w:t>
      </w:r>
      <w:r>
        <w:rPr>
          <w:rFonts w:hint="eastAsia" w:ascii="仿宋_GB2312" w:hAnsi="华文仿宋" w:eastAsia="仿宋_GB2312" w:cs="华文仿宋"/>
          <w:color w:val="auto"/>
          <w:sz w:val="32"/>
          <w:szCs w:val="32"/>
          <w:shd w:val="clear" w:color="auto" w:fill="FFFFFF"/>
        </w:rPr>
        <w:t>业旅游四</w:t>
      </w:r>
      <w:r>
        <w:rPr>
          <w:rFonts w:hint="eastAsia" w:ascii="仿宋_GB2312" w:hAnsi="华文仿宋" w:eastAsia="仿宋_GB2312" w:cs="华文仿宋"/>
          <w:color w:val="auto"/>
          <w:sz w:val="32"/>
          <w:szCs w:val="32"/>
        </w:rPr>
        <w:t>大文化旅游特色板块，打造安阳明清彰德古城历史文化旅游组团、曹魏文化旅游组团、彰武小南海文化旅游组团、林州太行山休闲旅游度假组团、汤阴三圣文化旅游组团、内黄农耕祭祖文化旅游组团、滑县运河古镇文化旅游组团。</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52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黑体"/>
                <w:color w:val="auto"/>
                <w:kern w:val="0"/>
                <w:sz w:val="24"/>
                <w:szCs w:val="24"/>
              </w:rPr>
            </w:pPr>
            <w:r>
              <w:rPr>
                <w:rFonts w:hint="eastAsia" w:ascii="Times New Roman" w:hAnsi="Times New Roman" w:eastAsia="黑体"/>
                <w:color w:val="auto"/>
                <w:sz w:val="24"/>
                <w:szCs w:val="24"/>
              </w:rPr>
              <w:t>专栏</w:t>
            </w:r>
            <w:r>
              <w:rPr>
                <w:rFonts w:ascii="Times New Roman" w:hAnsi="Times New Roman" w:eastAsia="黑体"/>
                <w:color w:val="auto"/>
                <w:sz w:val="24"/>
                <w:szCs w:val="24"/>
              </w:rPr>
              <w:t xml:space="preserve">3.2  </w:t>
            </w:r>
            <w:r>
              <w:rPr>
                <w:rFonts w:hint="eastAsia" w:ascii="Times New Roman" w:hAnsi="Times New Roman" w:eastAsia="黑体"/>
                <w:color w:val="auto"/>
                <w:sz w:val="24"/>
                <w:szCs w:val="24"/>
              </w:rPr>
              <w:t>各县（市、区）文旅发展重点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03" w:hRule="atLeast"/>
          <w:jc w:val="center"/>
        </w:trPr>
        <w:tc>
          <w:tcPr>
            <w:tcW w:w="8523"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2" w:firstLineChars="200"/>
              <w:rPr>
                <w:rFonts w:ascii="宋体"/>
                <w:color w:val="auto"/>
                <w:sz w:val="24"/>
                <w:szCs w:val="24"/>
              </w:rPr>
            </w:pPr>
            <w:r>
              <w:rPr>
                <w:rFonts w:hint="eastAsia" w:ascii="宋体" w:hAnsi="宋体" w:cs="宋体"/>
                <w:b/>
                <w:color w:val="auto"/>
                <w:sz w:val="24"/>
                <w:szCs w:val="24"/>
              </w:rPr>
              <w:t>中心城区。</w:t>
            </w:r>
            <w:r>
              <w:rPr>
                <w:rFonts w:hint="eastAsia" w:ascii="宋体" w:hAnsi="宋体" w:cs="宋体"/>
                <w:color w:val="auto"/>
                <w:sz w:val="24"/>
                <w:szCs w:val="24"/>
              </w:rPr>
              <w:t>加快建设中国文字博物馆续建工程及汉字公园、殷墟国家考古遗址公园、殷墟遗址博物馆、安阳古城保护整治复兴工程等重点项目，建设河南省国际考古旅游示范区，创建国际一流考古旅游科研基地，打造国际汉字文化旅游圣地。</w:t>
            </w:r>
          </w:p>
          <w:p>
            <w:pPr>
              <w:spacing w:line="520" w:lineRule="exact"/>
              <w:ind w:firstLine="482" w:firstLineChars="200"/>
              <w:rPr>
                <w:rFonts w:ascii="宋体"/>
                <w:color w:val="auto"/>
                <w:sz w:val="24"/>
                <w:szCs w:val="24"/>
              </w:rPr>
            </w:pPr>
            <w:r>
              <w:rPr>
                <w:rFonts w:hint="eastAsia" w:ascii="宋体" w:hAnsi="宋体" w:cs="宋体"/>
                <w:b/>
                <w:color w:val="auto"/>
                <w:sz w:val="24"/>
                <w:szCs w:val="24"/>
              </w:rPr>
              <w:t>林州市。</w:t>
            </w:r>
            <w:r>
              <w:rPr>
                <w:rFonts w:hint="eastAsia" w:ascii="宋体" w:hAnsi="宋体" w:cs="宋体"/>
                <w:color w:val="auto"/>
                <w:sz w:val="24"/>
                <w:szCs w:val="24"/>
              </w:rPr>
              <w:t>发挥国家级风景区品牌带动作用，提升全域旅游发展品质，建设完善红旗渠</w:t>
            </w:r>
            <w:r>
              <w:rPr>
                <w:rFonts w:hint="eastAsia" w:ascii="宋体" w:hAnsi="宋体" w:cs="宋体"/>
                <w:color w:val="auto"/>
                <w:sz w:val="24"/>
                <w:szCs w:val="24"/>
                <w:lang w:eastAsia="zh-CN"/>
              </w:rPr>
              <w:t>、</w:t>
            </w:r>
            <w:r>
              <w:rPr>
                <w:rFonts w:hint="eastAsia" w:ascii="宋体" w:hAnsi="宋体" w:cs="宋体"/>
                <w:color w:val="auto"/>
                <w:sz w:val="24"/>
                <w:szCs w:val="24"/>
              </w:rPr>
              <w:t>太行大峡谷旅游基础设施，大力发展红色研学、自然山水</w:t>
            </w:r>
            <w:r>
              <w:rPr>
                <w:rFonts w:hint="eastAsia" w:ascii="宋体" w:hAnsi="宋体" w:cs="宋体"/>
                <w:color w:val="auto"/>
                <w:sz w:val="24"/>
                <w:szCs w:val="24"/>
              </w:rPr>
              <w:t>旅游</w:t>
            </w:r>
            <w:r>
              <w:rPr>
                <w:rFonts w:hint="eastAsia" w:ascii="宋体" w:hAnsi="宋体" w:cs="宋体"/>
                <w:color w:val="auto"/>
                <w:sz w:val="24"/>
                <w:szCs w:val="24"/>
              </w:rPr>
              <w:t>、运动休闲旅游，打造全国研学旅游重要目的地。</w:t>
            </w:r>
          </w:p>
          <w:p>
            <w:pPr>
              <w:spacing w:line="520" w:lineRule="exact"/>
              <w:ind w:firstLine="482" w:firstLineChars="200"/>
              <w:rPr>
                <w:rFonts w:ascii="宋体"/>
                <w:color w:val="auto"/>
                <w:sz w:val="24"/>
                <w:szCs w:val="24"/>
              </w:rPr>
            </w:pPr>
            <w:r>
              <w:rPr>
                <w:rFonts w:hint="eastAsia" w:ascii="宋体" w:hAnsi="宋体" w:cs="宋体"/>
                <w:b/>
                <w:color w:val="auto"/>
                <w:sz w:val="24"/>
                <w:szCs w:val="24"/>
              </w:rPr>
              <w:t>汤阴县。</w:t>
            </w:r>
            <w:r>
              <w:rPr>
                <w:rFonts w:hint="eastAsia" w:ascii="宋体" w:hAnsi="宋体" w:cs="宋体"/>
                <w:color w:val="auto"/>
                <w:sz w:val="24"/>
                <w:szCs w:val="24"/>
              </w:rPr>
              <w:t>深入挖掘千年古县文化内涵，加快建设周易文化产业园、精忠报国城等一批特色文旅项目，提炼周易文化优秀内核，弘扬岳飞精忠报国精神，传承扁鹊中医康养文化，传诵诗经文化，打造文旅融合创新发展区。</w:t>
            </w:r>
          </w:p>
          <w:p>
            <w:pPr>
              <w:spacing w:line="520" w:lineRule="exact"/>
              <w:ind w:firstLine="482" w:firstLineChars="200"/>
              <w:rPr>
                <w:rFonts w:ascii="宋体"/>
                <w:color w:val="auto"/>
                <w:sz w:val="24"/>
                <w:szCs w:val="24"/>
              </w:rPr>
            </w:pPr>
            <w:r>
              <w:rPr>
                <w:rFonts w:hint="eastAsia" w:ascii="宋体" w:hAnsi="宋体" w:cs="宋体"/>
                <w:b/>
                <w:color w:val="auto"/>
                <w:sz w:val="24"/>
                <w:szCs w:val="24"/>
              </w:rPr>
              <w:t>滑</w:t>
            </w:r>
            <w:r>
              <w:rPr>
                <w:rFonts w:ascii="宋体" w:hAnsi="宋体"/>
                <w:b/>
                <w:color w:val="auto"/>
                <w:sz w:val="24"/>
                <w:szCs w:val="24"/>
              </w:rPr>
              <w:t xml:space="preserve">  </w:t>
            </w:r>
            <w:r>
              <w:rPr>
                <w:rFonts w:hint="eastAsia" w:ascii="宋体" w:hAnsi="宋体" w:cs="宋体"/>
                <w:b/>
                <w:color w:val="auto"/>
                <w:sz w:val="24"/>
                <w:szCs w:val="24"/>
              </w:rPr>
              <w:t>县。</w:t>
            </w:r>
            <w:r>
              <w:rPr>
                <w:rFonts w:hint="eastAsia" w:ascii="宋体" w:hAnsi="宋体" w:cs="宋体"/>
                <w:color w:val="auto"/>
                <w:sz w:val="24"/>
                <w:szCs w:val="24"/>
              </w:rPr>
              <w:t>加强大运河文化保护传承利用，突出文化旅游资源整合、文化品牌塑造，积极推进大运河百工聚落片区、瓠子堤文化遗址保护工程、大运河宋船文化园等项目建设，打造大运河文化旅游发展示范区。</w:t>
            </w:r>
          </w:p>
          <w:p>
            <w:pPr>
              <w:spacing w:line="520" w:lineRule="exact"/>
              <w:ind w:firstLine="482" w:firstLineChars="200"/>
              <w:rPr>
                <w:rFonts w:ascii="Times New Roman" w:hAnsi="Times New Roman" w:eastAsia="黑体"/>
                <w:color w:val="auto"/>
                <w:sz w:val="24"/>
                <w:szCs w:val="24"/>
              </w:rPr>
            </w:pPr>
            <w:r>
              <w:rPr>
                <w:rFonts w:hint="eastAsia" w:ascii="宋体" w:hAnsi="宋体" w:cs="宋体"/>
                <w:b/>
                <w:color w:val="auto"/>
                <w:sz w:val="24"/>
                <w:szCs w:val="24"/>
              </w:rPr>
              <w:t>内黄县。</w:t>
            </w:r>
            <w:r>
              <w:rPr>
                <w:rFonts w:hint="eastAsia" w:ascii="宋体" w:hAnsi="宋体" w:cs="宋体"/>
                <w:color w:val="auto"/>
                <w:sz w:val="24"/>
                <w:szCs w:val="24"/>
              </w:rPr>
              <w:t>加强黄河文化保护传承利用，大力弘扬以二帝陵为代表的祖根文化，加快推进二帝陵</w:t>
            </w:r>
            <w:r>
              <w:rPr>
                <w:rFonts w:ascii="宋体"/>
                <w:color w:val="auto"/>
                <w:sz w:val="24"/>
                <w:szCs w:val="24"/>
              </w:rPr>
              <w:t>•</w:t>
            </w:r>
            <w:r>
              <w:rPr>
                <w:rFonts w:hint="eastAsia" w:ascii="宋体" w:hAnsi="宋体" w:cs="宋体"/>
                <w:color w:val="auto"/>
                <w:sz w:val="24"/>
                <w:szCs w:val="24"/>
              </w:rPr>
              <w:t>三杨庄文化旅游产业综合体建设，打造祖根文化旅游目的地。</w:t>
            </w:r>
          </w:p>
        </w:tc>
      </w:tr>
    </w:tbl>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大产业融合，新业态引领。</w:t>
      </w:r>
      <w:r>
        <w:rPr>
          <w:rFonts w:hint="eastAsia" w:ascii="仿宋_GB2312" w:hAnsi="华文仿宋" w:eastAsia="仿宋_GB2312" w:cs="华文仿宋"/>
          <w:color w:val="auto"/>
          <w:sz w:val="32"/>
          <w:szCs w:val="32"/>
        </w:rPr>
        <w:t>推动文化旅游与工业、农业、商业、科技、体育、康养等融合发展，大力发展</w:t>
      </w:r>
      <w:r>
        <w:rPr>
          <w:rFonts w:hint="eastAsia" w:ascii="仿宋_GB2312" w:hAnsi="华文仿宋" w:eastAsia="仿宋_GB2312" w:cs="华文仿宋"/>
          <w:color w:val="auto"/>
          <w:sz w:val="32"/>
          <w:szCs w:val="32"/>
          <w:shd w:val="clear" w:color="auto" w:fill="FFFFFF"/>
        </w:rPr>
        <w:t>山水旅游、红色旅游、航空运动游、古城游、研学游、寻根游、乡村游、生态游</w:t>
      </w:r>
      <w:r>
        <w:rPr>
          <w:rFonts w:hint="eastAsia" w:ascii="仿宋_GB2312" w:hAnsi="华文仿宋" w:eastAsia="仿宋_GB2312" w:cs="华文仿宋"/>
          <w:color w:val="auto"/>
          <w:sz w:val="32"/>
          <w:szCs w:val="32"/>
        </w:rPr>
        <w:t>等旅游新业态。</w:t>
      </w:r>
      <w:bookmarkStart w:id="24" w:name="_Toc51057464"/>
      <w:r>
        <w:rPr>
          <w:rFonts w:hint="eastAsia" w:ascii="仿宋_GB2312" w:hAnsi="华文仿宋" w:eastAsia="仿宋_GB2312" w:cs="华文仿宋"/>
          <w:color w:val="auto"/>
          <w:sz w:val="32"/>
          <w:szCs w:val="28"/>
        </w:rPr>
        <w:t>围绕历史文化资源，构建集文物博览、文化体验、演艺休闲、旅游节庆、特色会展、现代商业于一体的文化旅游产业链，带动文化旅游相关产业发展。</w:t>
      </w:r>
      <w:r>
        <w:rPr>
          <w:rFonts w:hint="eastAsia" w:ascii="仿宋_GB2312" w:hAnsi="华文仿宋" w:eastAsia="仿宋_GB2312" w:cs="华文仿宋"/>
          <w:color w:val="auto"/>
          <w:sz w:val="32"/>
          <w:szCs w:val="32"/>
        </w:rPr>
        <w:t>创新全域智慧旅游新模式，探索智慧旅游“新体验、新玩法”，设计搭建全域智慧旅游服务体系，打造全方位智慧旅游新体验，支持开发景区云上游、云上博物馆等线上旅游。培育发展文化创意</w:t>
      </w:r>
      <w:bookmarkEnd w:id="24"/>
      <w:r>
        <w:rPr>
          <w:rFonts w:hint="eastAsia" w:ascii="仿宋_GB2312" w:hAnsi="华文仿宋" w:eastAsia="仿宋_GB2312" w:cs="华文仿宋"/>
          <w:color w:val="auto"/>
          <w:sz w:val="32"/>
          <w:szCs w:val="32"/>
        </w:rPr>
        <w:t>设计，推动“甲骨文”等文化元素融入生产、生活和城市风貌建设环节，提升文化创意设计原始创新和集成创新能力。</w:t>
      </w:r>
    </w:p>
    <w:p>
      <w:pPr>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color w:val="auto"/>
          <w:sz w:val="32"/>
          <w:szCs w:val="32"/>
        </w:rPr>
        <w:t>大服务先行，大市场开拓。</w:t>
      </w:r>
      <w:r>
        <w:rPr>
          <w:rFonts w:hint="eastAsia" w:ascii="仿宋_GB2312" w:hAnsi="华文仿宋" w:eastAsia="仿宋_GB2312" w:cs="华文仿宋"/>
          <w:color w:val="auto"/>
          <w:sz w:val="32"/>
          <w:szCs w:val="32"/>
        </w:rPr>
        <w:t>实施旅游交通畅达工程，加快推进安阳机场、高铁交通综合枢纽、沿太行高速公路安阳段、内林旅游高速公路专线、安阳高陵至殷墟旅游专线等项目建设，构建综合立体旅游交通网络。实施旅游设施提升工程，加快市文体中心、旅游智慧中心、城市书房等建设，提升博物馆、文化馆等公共文化设施旅游功能，完善一批旅游基础设施补短板项目。</w:t>
      </w:r>
      <w:r>
        <w:rPr>
          <w:rFonts w:hint="eastAsia" w:ascii="仿宋_GB2312" w:hAnsi="华文仿宋" w:eastAsia="仿宋_GB2312" w:cs="华文仿宋"/>
          <w:bCs/>
          <w:color w:val="auto"/>
          <w:sz w:val="32"/>
          <w:szCs w:val="32"/>
        </w:rPr>
        <w:t>深挖国内外文旅消费市场，</w:t>
      </w:r>
      <w:r>
        <w:rPr>
          <w:rFonts w:hint="eastAsia" w:ascii="仿宋_GB2312" w:hAnsi="华文仿宋" w:eastAsia="仿宋_GB2312" w:cs="华文仿宋"/>
          <w:color w:val="auto"/>
          <w:sz w:val="32"/>
          <w:szCs w:val="32"/>
        </w:rPr>
        <w:t>持续实施“迎客入安”活动，完善“惠游安阳”政策体系，推进豫晋冀鲁区域旅游一体化发展。积极推动与北京、西安、南京、杭州的战略合作，共同推动中国古城保护及旅游市场整体开发。</w:t>
      </w:r>
      <w:r>
        <w:rPr>
          <w:rFonts w:hint="eastAsia" w:ascii="仿宋_GB2312" w:hAnsi="Times New Roman" w:eastAsia="仿宋_GB2312"/>
          <w:color w:val="auto"/>
          <w:sz w:val="32"/>
          <w:szCs w:val="32"/>
        </w:rPr>
        <w:t>加强与国际旅行商合作，开发国际旅游市场，完善涉外旅游服务体系，提升境外游客在安阳消费便利化水平。</w:t>
      </w:r>
    </w:p>
    <w:p>
      <w:pPr>
        <w:pStyle w:val="5"/>
        <w:ind w:left="31680"/>
        <w:rPr>
          <w:color w:val="auto"/>
        </w:rPr>
      </w:pP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89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olor w:val="auto"/>
                <w:kern w:val="0"/>
                <w:sz w:val="24"/>
                <w:szCs w:val="24"/>
              </w:rPr>
            </w:pPr>
            <w:r>
              <w:rPr>
                <w:rFonts w:hint="eastAsia" w:ascii="黑体" w:hAnsi="黑体" w:eastAsia="黑体"/>
                <w:color w:val="auto"/>
                <w:sz w:val="24"/>
                <w:szCs w:val="24"/>
              </w:rPr>
              <w:t>专栏</w:t>
            </w:r>
            <w:r>
              <w:rPr>
                <w:rFonts w:ascii="黑体" w:hAnsi="黑体" w:eastAsia="黑体"/>
                <w:color w:val="auto"/>
                <w:sz w:val="24"/>
                <w:szCs w:val="24"/>
              </w:rPr>
              <w:t xml:space="preserve">3.3  </w:t>
            </w:r>
            <w:r>
              <w:rPr>
                <w:rFonts w:hint="eastAsia" w:ascii="黑体" w:hAnsi="黑体" w:eastAsia="黑体"/>
                <w:color w:val="auto"/>
                <w:sz w:val="24"/>
                <w:szCs w:val="24"/>
              </w:rPr>
              <w:t>文化旅游发展支撑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89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2" w:firstLineChars="200"/>
              <w:rPr>
                <w:rFonts w:ascii="宋体"/>
                <w:color w:val="auto"/>
                <w:sz w:val="24"/>
                <w:szCs w:val="24"/>
              </w:rPr>
            </w:pPr>
            <w:r>
              <w:rPr>
                <w:rFonts w:hint="eastAsia" w:ascii="宋体" w:hAnsi="宋体" w:cs="宋体"/>
                <w:b/>
                <w:color w:val="auto"/>
                <w:sz w:val="24"/>
                <w:szCs w:val="24"/>
              </w:rPr>
              <w:t>历史文化旅游重点项目。</w:t>
            </w:r>
            <w:r>
              <w:rPr>
                <w:rFonts w:hint="eastAsia" w:ascii="宋体" w:hAnsi="宋体" w:cs="宋体"/>
                <w:color w:val="auto"/>
                <w:sz w:val="24"/>
                <w:szCs w:val="24"/>
              </w:rPr>
              <w:t>殷墟国家考古遗址公园、殷墟遗址博物馆、中国文字博物馆续建和汉字公园、安阳古城保护整治复兴工程、安阳高陵本体保护与园林景观整治、周易文化产业园、内黄三杨庄</w:t>
            </w:r>
            <w:r>
              <w:rPr>
                <w:rFonts w:ascii="宋体"/>
                <w:color w:val="auto"/>
                <w:sz w:val="24"/>
                <w:szCs w:val="24"/>
              </w:rPr>
              <w:t>•</w:t>
            </w:r>
            <w:r>
              <w:rPr>
                <w:rFonts w:hint="eastAsia" w:ascii="宋体" w:hAnsi="宋体" w:cs="宋体"/>
                <w:color w:val="auto"/>
                <w:sz w:val="24"/>
                <w:szCs w:val="24"/>
              </w:rPr>
              <w:t>二帝陵文化旅游产业综合体、滑县大运河百工聚落片区、滑县明福寺塔历史文化风貌区、滑县大运河宋船文化园等重点项目。</w:t>
            </w:r>
          </w:p>
          <w:p>
            <w:pPr>
              <w:spacing w:line="520" w:lineRule="exact"/>
              <w:ind w:firstLine="482" w:firstLineChars="200"/>
              <w:rPr>
                <w:rFonts w:ascii="宋体"/>
                <w:color w:val="auto"/>
                <w:sz w:val="24"/>
                <w:szCs w:val="24"/>
              </w:rPr>
            </w:pPr>
            <w:r>
              <w:rPr>
                <w:rFonts w:hint="eastAsia" w:ascii="宋体" w:hAnsi="宋体" w:cs="宋体"/>
                <w:b/>
                <w:color w:val="auto"/>
                <w:sz w:val="24"/>
                <w:szCs w:val="24"/>
              </w:rPr>
              <w:t>山水度假旅游重点项目。</w:t>
            </w:r>
            <w:r>
              <w:rPr>
                <w:rFonts w:hint="eastAsia" w:ascii="宋体" w:hAnsi="宋体" w:cs="宋体"/>
                <w:color w:val="auto"/>
                <w:sz w:val="24"/>
                <w:szCs w:val="24"/>
              </w:rPr>
              <w:t>红旗渠</w:t>
            </w:r>
            <w:r>
              <w:rPr>
                <w:rFonts w:ascii="宋体"/>
                <w:color w:val="auto"/>
                <w:sz w:val="24"/>
                <w:szCs w:val="24"/>
              </w:rPr>
              <w:t>•</w:t>
            </w:r>
            <w:r>
              <w:rPr>
                <w:rFonts w:hint="eastAsia" w:ascii="宋体" w:hAnsi="宋体" w:cs="宋体"/>
                <w:color w:val="auto"/>
                <w:sz w:val="24"/>
                <w:szCs w:val="24"/>
              </w:rPr>
              <w:t>太行大峡谷景区综合提升工程、淇淅河国家湿地公园、</w:t>
            </w:r>
            <w:r>
              <w:rPr>
                <w:rFonts w:hint="eastAsia" w:ascii="宋体" w:hAnsi="宋体" w:cs="华文仿宋"/>
                <w:color w:val="auto"/>
                <w:sz w:val="24"/>
                <w:szCs w:val="24"/>
              </w:rPr>
              <w:t>“</w:t>
            </w:r>
            <w:r>
              <w:rPr>
                <w:rFonts w:hint="eastAsia" w:ascii="宋体" w:hAnsi="宋体" w:cs="宋体"/>
                <w:color w:val="auto"/>
                <w:sz w:val="24"/>
                <w:szCs w:val="24"/>
              </w:rPr>
              <w:t>两库一泉</w:t>
            </w:r>
            <w:r>
              <w:rPr>
                <w:rFonts w:hint="eastAsia" w:ascii="宋体" w:hAnsi="宋体" w:cs="华文仿宋"/>
                <w:color w:val="auto"/>
                <w:sz w:val="24"/>
                <w:szCs w:val="24"/>
              </w:rPr>
              <w:t>”</w:t>
            </w:r>
            <w:r>
              <w:rPr>
                <w:rFonts w:hint="eastAsia" w:ascii="宋体" w:hAnsi="宋体" w:cs="宋体"/>
                <w:color w:val="auto"/>
                <w:sz w:val="24"/>
                <w:szCs w:val="24"/>
              </w:rPr>
              <w:t>风景区、汤河国家湿地公园、漳河峡谷国家湿地公园、滑县西湖生态旅游提质工程、昆玉山景区等重点项目。</w:t>
            </w:r>
          </w:p>
          <w:p>
            <w:pPr>
              <w:spacing w:line="520" w:lineRule="exact"/>
              <w:ind w:firstLine="482" w:firstLineChars="200"/>
              <w:rPr>
                <w:rFonts w:ascii="宋体"/>
                <w:color w:val="auto"/>
                <w:sz w:val="24"/>
                <w:szCs w:val="24"/>
              </w:rPr>
            </w:pPr>
            <w:r>
              <w:rPr>
                <w:rFonts w:hint="eastAsia" w:ascii="宋体" w:hAnsi="宋体" w:cs="宋体"/>
                <w:b/>
                <w:color w:val="auto"/>
                <w:sz w:val="24"/>
                <w:szCs w:val="24"/>
              </w:rPr>
              <w:t>乡村旅游。</w:t>
            </w:r>
            <w:r>
              <w:rPr>
                <w:rFonts w:hint="eastAsia" w:ascii="宋体" w:hAnsi="宋体" w:cs="宋体"/>
                <w:bCs/>
                <w:color w:val="auto"/>
                <w:sz w:val="24"/>
                <w:szCs w:val="24"/>
              </w:rPr>
              <w:t>推进乡村旅游与乡村振兴相结合，</w:t>
            </w:r>
            <w:r>
              <w:rPr>
                <w:rFonts w:hint="eastAsia" w:ascii="宋体" w:hAnsi="宋体" w:cs="宋体"/>
                <w:color w:val="auto"/>
                <w:sz w:val="24"/>
                <w:szCs w:val="24"/>
              </w:rPr>
              <w:t>推动太行山区域乡村旅游高质量发展，深化农耕文化内涵，力争创建乡村旅游示范县</w:t>
            </w:r>
            <w:r>
              <w:rPr>
                <w:rFonts w:ascii="宋体" w:hAnsi="宋体" w:cs="华文仿宋"/>
                <w:color w:val="auto"/>
                <w:sz w:val="24"/>
                <w:szCs w:val="24"/>
              </w:rPr>
              <w:t>2</w:t>
            </w:r>
            <w:r>
              <w:rPr>
                <w:rFonts w:hint="eastAsia" w:ascii="宋体" w:hAnsi="宋体" w:cs="宋体"/>
                <w:color w:val="auto"/>
                <w:sz w:val="24"/>
                <w:szCs w:val="24"/>
              </w:rPr>
              <w:t>个，生态旅游示范镇</w:t>
            </w:r>
            <w:r>
              <w:rPr>
                <w:rFonts w:ascii="宋体" w:hAnsi="宋体" w:cs="华文仿宋"/>
                <w:color w:val="auto"/>
                <w:sz w:val="24"/>
                <w:szCs w:val="24"/>
              </w:rPr>
              <w:t>20</w:t>
            </w:r>
            <w:r>
              <w:rPr>
                <w:rFonts w:hint="eastAsia" w:ascii="宋体" w:hAnsi="宋体" w:cs="宋体"/>
                <w:color w:val="auto"/>
                <w:sz w:val="24"/>
                <w:szCs w:val="24"/>
              </w:rPr>
              <w:t>个，休闲观光园区</w:t>
            </w:r>
            <w:r>
              <w:rPr>
                <w:rFonts w:ascii="宋体" w:hAnsi="宋体" w:cs="华文仿宋"/>
                <w:color w:val="auto"/>
                <w:sz w:val="24"/>
                <w:szCs w:val="24"/>
              </w:rPr>
              <w:t>15</w:t>
            </w:r>
            <w:r>
              <w:rPr>
                <w:rFonts w:hint="eastAsia" w:ascii="宋体" w:hAnsi="宋体" w:cs="宋体"/>
                <w:color w:val="auto"/>
                <w:sz w:val="24"/>
                <w:szCs w:val="24"/>
              </w:rPr>
              <w:t>个，乡村旅游创客示范基地</w:t>
            </w:r>
            <w:r>
              <w:rPr>
                <w:rFonts w:ascii="宋体" w:hAnsi="宋体" w:cs="华文仿宋"/>
                <w:color w:val="auto"/>
                <w:sz w:val="24"/>
                <w:szCs w:val="24"/>
              </w:rPr>
              <w:t>15</w:t>
            </w:r>
            <w:r>
              <w:rPr>
                <w:rFonts w:hint="eastAsia" w:ascii="宋体" w:hAnsi="宋体" w:cs="宋体"/>
                <w:color w:val="auto"/>
                <w:sz w:val="24"/>
                <w:szCs w:val="24"/>
              </w:rPr>
              <w:t>个，乡村旅游特色村</w:t>
            </w:r>
            <w:r>
              <w:rPr>
                <w:rFonts w:ascii="宋体" w:hAnsi="宋体" w:cs="华文仿宋"/>
                <w:color w:val="auto"/>
                <w:sz w:val="24"/>
                <w:szCs w:val="24"/>
              </w:rPr>
              <w:t>60</w:t>
            </w:r>
            <w:r>
              <w:rPr>
                <w:rFonts w:hint="eastAsia" w:ascii="宋体" w:hAnsi="宋体" w:cs="宋体"/>
                <w:color w:val="auto"/>
                <w:sz w:val="24"/>
                <w:szCs w:val="24"/>
              </w:rPr>
              <w:t>个。</w:t>
            </w:r>
          </w:p>
          <w:p>
            <w:pPr>
              <w:spacing w:line="520" w:lineRule="exact"/>
              <w:ind w:firstLine="482" w:firstLineChars="200"/>
              <w:rPr>
                <w:rFonts w:ascii="宋体"/>
                <w:b/>
                <w:color w:val="auto"/>
                <w:sz w:val="24"/>
                <w:szCs w:val="24"/>
              </w:rPr>
            </w:pPr>
            <w:r>
              <w:rPr>
                <w:rFonts w:hint="eastAsia" w:ascii="宋体" w:hAnsi="宋体" w:cs="宋体"/>
                <w:b/>
                <w:color w:val="auto"/>
                <w:sz w:val="24"/>
                <w:szCs w:val="24"/>
              </w:rPr>
              <w:t>研学旅游。</w:t>
            </w:r>
            <w:r>
              <w:rPr>
                <w:rFonts w:hint="eastAsia" w:ascii="宋体" w:hAnsi="宋体" w:cs="宋体"/>
                <w:color w:val="auto"/>
                <w:sz w:val="24"/>
                <w:szCs w:val="24"/>
              </w:rPr>
              <w:t>进一步提升红旗渠、中国文字博物馆、殷墟、岳飞庙等国家级研学基地和羑里城、马氏庄园等省级研学基地服务水平，争创一批国家级、省级研学基地。建设红旗渠精神传承实践基地，打造全国一流的党性教育培训中心和红旗渠精神传播交流中心。</w:t>
            </w:r>
          </w:p>
          <w:p>
            <w:pPr>
              <w:spacing w:line="520" w:lineRule="exact"/>
              <w:ind w:firstLine="482" w:firstLineChars="200"/>
              <w:rPr>
                <w:rFonts w:ascii="宋体"/>
                <w:color w:val="auto"/>
                <w:sz w:val="24"/>
                <w:szCs w:val="24"/>
              </w:rPr>
            </w:pPr>
            <w:r>
              <w:rPr>
                <w:rFonts w:hint="eastAsia" w:ascii="宋体" w:hAnsi="宋体"/>
                <w:b/>
                <w:bCs/>
                <w:color w:val="auto"/>
                <w:sz w:val="24"/>
                <w:szCs w:val="24"/>
              </w:rPr>
              <w:t>工</w:t>
            </w:r>
            <w:r>
              <w:rPr>
                <w:rFonts w:hint="eastAsia" w:ascii="宋体" w:hAnsi="宋体" w:cs="宋体"/>
                <w:b/>
                <w:bCs/>
                <w:color w:val="auto"/>
                <w:sz w:val="24"/>
                <w:szCs w:val="24"/>
              </w:rPr>
              <w:t>业</w:t>
            </w:r>
            <w:r>
              <w:rPr>
                <w:rFonts w:hint="eastAsia" w:ascii="宋体" w:hAnsi="宋体"/>
                <w:b/>
                <w:bCs/>
                <w:color w:val="auto"/>
                <w:sz w:val="24"/>
                <w:szCs w:val="24"/>
              </w:rPr>
              <w:t>旅游。</w:t>
            </w:r>
            <w:r>
              <w:rPr>
                <w:rFonts w:hint="eastAsia" w:ascii="宋体" w:hAnsi="宋体" w:cs="宋体"/>
                <w:color w:val="auto"/>
                <w:kern w:val="0"/>
                <w:sz w:val="24"/>
                <w:szCs w:val="24"/>
              </w:rPr>
              <w:t>加强工业遗产保护利用与文化保护传承，加快建设原豫北纱厂旧址、安钢园林化工厂、滑县西纸厂、安阳卷烟厂（旧址）、安化集团老办公楼及尿素造粒塔、安阳玻壳厂等项目，开发一批文化创意基地、主题文化园区等工业旅游产品。</w:t>
            </w:r>
          </w:p>
          <w:p>
            <w:pPr>
              <w:spacing w:line="600" w:lineRule="exact"/>
              <w:rPr>
                <w:rFonts w:ascii="黑体" w:hAnsi="黑体" w:eastAsia="黑体"/>
                <w:color w:val="auto"/>
                <w:sz w:val="24"/>
                <w:szCs w:val="24"/>
              </w:rPr>
            </w:pPr>
            <w:r>
              <w:rPr>
                <w:rFonts w:ascii="宋体" w:hAnsi="宋体" w:cs="宋体"/>
                <w:b/>
                <w:bCs/>
                <w:color w:val="auto"/>
                <w:sz w:val="24"/>
                <w:szCs w:val="24"/>
              </w:rPr>
              <w:t xml:space="preserve">    </w:t>
            </w:r>
            <w:r>
              <w:rPr>
                <w:rFonts w:hint="eastAsia" w:ascii="宋体" w:hAnsi="宋体" w:cs="宋体"/>
                <w:b/>
                <w:bCs/>
                <w:color w:val="auto"/>
                <w:sz w:val="24"/>
                <w:szCs w:val="24"/>
              </w:rPr>
              <w:t>体育旅游。</w:t>
            </w:r>
            <w:r>
              <w:rPr>
                <w:rFonts w:hint="eastAsia" w:ascii="宋体" w:hAnsi="宋体" w:cs="宋体"/>
                <w:color w:val="auto"/>
                <w:sz w:val="24"/>
                <w:szCs w:val="24"/>
              </w:rPr>
              <w:t>引进</w:t>
            </w:r>
            <w:r>
              <w:rPr>
                <w:rFonts w:ascii="宋体" w:hAnsi="宋体" w:cs="华文仿宋"/>
                <w:color w:val="auto"/>
                <w:sz w:val="24"/>
                <w:szCs w:val="24"/>
              </w:rPr>
              <w:t>1-2</w:t>
            </w:r>
            <w:r>
              <w:rPr>
                <w:rFonts w:hint="eastAsia" w:ascii="宋体" w:hAnsi="宋体" w:cs="宋体"/>
                <w:color w:val="auto"/>
                <w:sz w:val="24"/>
                <w:szCs w:val="24"/>
              </w:rPr>
              <w:t>项国家级体育赛事，延伸赛事产业链条，发展山地、水上、冰雪、通用航空等运动休闲产业。</w:t>
            </w:r>
          </w:p>
        </w:tc>
      </w:tr>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、现代金融</w:t>
      </w:r>
    </w:p>
    <w:p>
      <w:pPr>
        <w:spacing w:line="580" w:lineRule="exact"/>
        <w:ind w:firstLine="640" w:firstLineChars="200"/>
        <w:rPr>
          <w:rFonts w:ascii="仿宋_GB2312" w:hAnsi="华文仿宋" w:eastAsia="仿宋_GB2312" w:cs="华文仿宋"/>
          <w:color w:val="auto"/>
          <w:kern w:val="0"/>
          <w:sz w:val="32"/>
          <w:szCs w:val="32"/>
        </w:rPr>
      </w:pPr>
      <w:r>
        <w:rPr>
          <w:rFonts w:hint="eastAsia" w:ascii="仿宋_GB2312" w:hAnsi="Times New Roman" w:eastAsia="仿宋_GB2312"/>
          <w:color w:val="auto"/>
          <w:kern w:val="0"/>
          <w:sz w:val="32"/>
          <w:szCs w:val="32"/>
        </w:rPr>
        <w:t>以打造豫北金融服务中心为目标，着力发展高效安全、绿色普惠、开放创新的现代金融服务业，提高金融服务实体经济效能。</w:t>
      </w:r>
      <w:r>
        <w:rPr>
          <w:rFonts w:hint="eastAsia" w:ascii="仿宋_GB2312" w:hAnsi="华文仿宋" w:eastAsia="仿宋_GB2312" w:cs="华文仿宋"/>
          <w:color w:val="auto"/>
          <w:kern w:val="0"/>
          <w:sz w:val="32"/>
          <w:szCs w:val="32"/>
        </w:rPr>
        <w:t>到</w:t>
      </w:r>
      <w:r>
        <w:rPr>
          <w:rFonts w:ascii="仿宋_GB2312" w:hAnsi="华文仿宋" w:eastAsia="仿宋_GB2312" w:cs="华文仿宋"/>
          <w:color w:val="auto"/>
          <w:kern w:val="0"/>
          <w:sz w:val="32"/>
          <w:szCs w:val="32"/>
        </w:rPr>
        <w:t>2025</w:t>
      </w:r>
      <w:r>
        <w:rPr>
          <w:rFonts w:hint="eastAsia" w:ascii="仿宋_GB2312" w:hAnsi="华文仿宋" w:eastAsia="仿宋_GB2312" w:cs="华文仿宋"/>
          <w:color w:val="auto"/>
          <w:kern w:val="0"/>
          <w:sz w:val="32"/>
          <w:szCs w:val="32"/>
        </w:rPr>
        <w:t>年，新增上市公司</w:t>
      </w:r>
      <w:r>
        <w:rPr>
          <w:rFonts w:ascii="仿宋_GB2312" w:hAnsi="华文仿宋" w:eastAsia="仿宋_GB2312" w:cs="华文仿宋"/>
          <w:color w:val="auto"/>
          <w:kern w:val="0"/>
          <w:sz w:val="32"/>
          <w:szCs w:val="32"/>
        </w:rPr>
        <w:t>2-4</w:t>
      </w:r>
      <w:r>
        <w:rPr>
          <w:rFonts w:hint="eastAsia" w:ascii="仿宋_GB2312" w:hAnsi="华文仿宋" w:eastAsia="仿宋_GB2312" w:cs="华文仿宋"/>
          <w:color w:val="auto"/>
          <w:kern w:val="0"/>
          <w:sz w:val="32"/>
          <w:szCs w:val="32"/>
        </w:rPr>
        <w:t>家，新三板和区域性股权市场挂牌企业达到</w:t>
      </w:r>
      <w:r>
        <w:rPr>
          <w:rFonts w:ascii="仿宋_GB2312" w:hAnsi="华文仿宋" w:eastAsia="仿宋_GB2312" w:cs="华文仿宋"/>
          <w:color w:val="auto"/>
          <w:kern w:val="0"/>
          <w:sz w:val="32"/>
          <w:szCs w:val="32"/>
        </w:rPr>
        <w:t>200</w:t>
      </w:r>
      <w:r>
        <w:rPr>
          <w:rFonts w:hint="eastAsia" w:ascii="仿宋_GB2312" w:hAnsi="华文仿宋" w:eastAsia="仿宋_GB2312" w:cs="华文仿宋"/>
          <w:color w:val="auto"/>
          <w:kern w:val="0"/>
          <w:sz w:val="32"/>
          <w:szCs w:val="32"/>
        </w:rPr>
        <w:t>家左右，直接融资规模达到</w:t>
      </w:r>
      <w:r>
        <w:rPr>
          <w:rFonts w:ascii="仿宋_GB2312" w:hAnsi="华文仿宋" w:eastAsia="仿宋_GB2312" w:cs="华文仿宋"/>
          <w:color w:val="auto"/>
          <w:kern w:val="0"/>
          <w:sz w:val="32"/>
          <w:szCs w:val="32"/>
        </w:rPr>
        <w:t>200</w:t>
      </w:r>
      <w:r>
        <w:rPr>
          <w:rFonts w:hint="eastAsia" w:ascii="仿宋_GB2312" w:hAnsi="华文仿宋" w:eastAsia="仿宋_GB2312" w:cs="华文仿宋"/>
          <w:color w:val="auto"/>
          <w:kern w:val="0"/>
          <w:sz w:val="32"/>
          <w:szCs w:val="32"/>
        </w:rPr>
        <w:t>亿元。</w:t>
      </w:r>
    </w:p>
    <w:p>
      <w:pPr>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bCs/>
          <w:color w:val="auto"/>
          <w:kern w:val="0"/>
          <w:sz w:val="32"/>
          <w:szCs w:val="32"/>
        </w:rPr>
        <w:t>推动金融集聚发展。</w:t>
      </w:r>
      <w:r>
        <w:rPr>
          <w:rFonts w:hint="eastAsia" w:ascii="仿宋_GB2312" w:hAnsi="Times New Roman" w:eastAsia="仿宋_GB2312"/>
          <w:color w:val="auto"/>
          <w:sz w:val="32"/>
          <w:szCs w:val="32"/>
        </w:rPr>
        <w:t>优化金融空间布局，以中心城区为核心区域，鼓励文峰区高水平建设区域性股权投资中心，大力发展私募股权投资基金、创投基金、发挥资本助力创新驱动的战略性作用。增</w:t>
      </w:r>
      <w:r>
        <w:rPr>
          <w:rFonts w:hint="eastAsia" w:ascii="仿宋_GB2312" w:hAnsi="华文仿宋" w:eastAsia="仿宋_GB2312" w:cs="华文仿宋"/>
          <w:color w:val="auto"/>
          <w:sz w:val="32"/>
          <w:szCs w:val="32"/>
        </w:rPr>
        <w:t>强</w:t>
      </w:r>
      <w:r>
        <w:rPr>
          <w:rFonts w:ascii="仿宋_GB2312" w:hAnsi="华文仿宋" w:eastAsia="仿宋_GB2312" w:cs="华文仿宋"/>
          <w:color w:val="auto"/>
          <w:sz w:val="32"/>
          <w:szCs w:val="32"/>
        </w:rPr>
        <w:t>CBD</w:t>
      </w:r>
      <w:r>
        <w:rPr>
          <w:rFonts w:hint="eastAsia" w:ascii="仿宋_GB2312" w:hAnsi="Times New Roman" w:eastAsia="仿宋_GB2312"/>
          <w:color w:val="auto"/>
          <w:sz w:val="32"/>
          <w:szCs w:val="32"/>
        </w:rPr>
        <w:t>中央商务区、世贸中心总部经济港金融集聚效应，提升殷都区金融商务区传统优势，积极招引各类金融机构在我市设立区域总部、功能总部、特色专营机构等分支机构，提升中心城区金融集聚水平。加快发展融资性担保、小额贷款、典当、融资租赁和商业保理等地方金融组织，支持和引导地方金融机构规范健康发展。</w:t>
      </w:r>
    </w:p>
    <w:p>
      <w:pPr>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color w:val="auto"/>
          <w:sz w:val="32"/>
          <w:szCs w:val="32"/>
        </w:rPr>
        <w:t>推进多层次资本市场建设。</w:t>
      </w:r>
      <w:r>
        <w:rPr>
          <w:rFonts w:hint="eastAsia" w:ascii="仿宋_GB2312" w:hAnsi="Times New Roman" w:eastAsia="仿宋_GB2312"/>
          <w:color w:val="auto"/>
          <w:sz w:val="32"/>
          <w:szCs w:val="32"/>
        </w:rPr>
        <w:t>完善企业上市、挂牌工作服务指导，加大培育力度，推动我市发展前景好、成长性高的企业改制上市，鼓励我市处于不同发展阶段的企业通过主板、中小板、创业板、全国中小企业股份转让系统、中原股权交易中心等获得多层次服务和支持。完善科创企业上市孵化机制，支持我市企业利用科创板向产业链、价值链高端延伸。大力推动企业利用发行债券、资产证券化等方式直接融资，支持证券期货经营机构实施多元化经营战略，开展各类创新业务。</w:t>
      </w:r>
    </w:p>
    <w:p>
      <w:pPr>
        <w:pStyle w:val="12"/>
        <w:widowControl/>
        <w:spacing w:line="580" w:lineRule="exact"/>
        <w:ind w:firstLine="643" w:firstLineChars="200"/>
        <w:jc w:val="both"/>
        <w:rPr>
          <w:rFonts w:ascii="仿宋_GB2312" w:hAnsi="Times New Roman" w:eastAsia="仿宋_GB2312"/>
          <w:color w:val="auto"/>
          <w:sz w:val="32"/>
          <w:szCs w:val="32"/>
        </w:rPr>
      </w:pPr>
      <w:r>
        <w:rPr>
          <w:rFonts w:hint="eastAsia" w:ascii="仿宋_GB2312" w:hAnsi="Times New Roman" w:eastAsia="仿宋_GB2312"/>
          <w:b/>
          <w:bCs/>
          <w:color w:val="auto"/>
          <w:sz w:val="32"/>
          <w:szCs w:val="32"/>
        </w:rPr>
        <w:t>大力发展特色金融。</w:t>
      </w:r>
      <w:r>
        <w:rPr>
          <w:rFonts w:hint="eastAsia" w:ascii="仿宋_GB2312" w:hAnsi="Times New Roman" w:eastAsia="仿宋_GB2312"/>
          <w:color w:val="auto"/>
          <w:sz w:val="32"/>
          <w:szCs w:val="32"/>
        </w:rPr>
        <w:t>鼓励金融机构大力发展科技金融、绿色金融、汽车金融、消费金融等特色领域，开展投贷联动、商业保理、融资租赁和供应链金融等创新业务，不断拓宽企业融资渠道。发挥科技型中小企业贷款及担保补偿资金导向作用，促进银行、担保机构加大对科技型中小企业信贷投放力度。</w:t>
      </w:r>
      <w:r>
        <w:rPr>
          <w:rFonts w:hint="eastAsia" w:ascii="仿宋_GB2312" w:hAnsi="Times New Roman" w:eastAsia="仿宋_GB2312" w:cs="??"/>
          <w:color w:val="auto"/>
          <w:sz w:val="32"/>
          <w:szCs w:val="32"/>
        </w:rPr>
        <w:t>支持发展农村普惠金融，强化乡村振兴重点领域金融支持，创新农村金融产品和服务。</w:t>
      </w:r>
      <w:r>
        <w:rPr>
          <w:rFonts w:hint="eastAsia" w:ascii="仿宋_GB2312" w:hAnsi="Times New Roman" w:eastAsia="仿宋_GB2312"/>
          <w:color w:val="auto"/>
          <w:sz w:val="32"/>
          <w:szCs w:val="32"/>
        </w:rPr>
        <w:t>支持金融机构在安阳国家高新技术产业开发区、红旗渠国家经济技术开发区等重点园区开展知识产权投融资服务和质押融资。</w:t>
      </w:r>
    </w:p>
    <w:tbl>
      <w:tblPr>
        <w:tblStyle w:val="16"/>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747" w:type="dxa"/>
          </w:tcPr>
          <w:p>
            <w:pPr>
              <w:spacing w:line="600" w:lineRule="exact"/>
              <w:jc w:val="center"/>
              <w:rPr>
                <w:rFonts w:ascii="黑体" w:hAnsi="黑体" w:eastAsia="黑体"/>
                <w:color w:val="auto"/>
                <w:sz w:val="24"/>
                <w:szCs w:val="24"/>
              </w:rPr>
            </w:pPr>
            <w:r>
              <w:rPr>
                <w:rFonts w:hint="eastAsia" w:ascii="黑体" w:hAnsi="黑体" w:eastAsia="黑体"/>
                <w:color w:val="auto"/>
                <w:sz w:val="24"/>
                <w:szCs w:val="24"/>
              </w:rPr>
              <w:t>专栏</w:t>
            </w:r>
            <w:r>
              <w:rPr>
                <w:rFonts w:ascii="黑体" w:hAnsi="黑体" w:eastAsia="黑体"/>
                <w:color w:val="auto"/>
                <w:sz w:val="24"/>
                <w:szCs w:val="24"/>
              </w:rPr>
              <w:t xml:space="preserve">3.4  </w:t>
            </w:r>
            <w:r>
              <w:rPr>
                <w:rFonts w:hint="eastAsia" w:ascii="黑体" w:hAnsi="黑体" w:eastAsia="黑体"/>
                <w:color w:val="auto"/>
                <w:sz w:val="24"/>
                <w:szCs w:val="24"/>
              </w:rPr>
              <w:t>现代金融发展支撑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8" w:hRule="atLeast"/>
          <w:jc w:val="center"/>
        </w:trPr>
        <w:tc>
          <w:tcPr>
            <w:tcW w:w="8747" w:type="dxa"/>
          </w:tcPr>
          <w:p>
            <w:pPr>
              <w:spacing w:line="520" w:lineRule="exact"/>
              <w:ind w:firstLine="482" w:firstLineChars="200"/>
              <w:rPr>
                <w:rFonts w:ascii="宋体"/>
                <w:color w:val="auto"/>
                <w:sz w:val="24"/>
                <w:szCs w:val="24"/>
              </w:rPr>
            </w:pPr>
            <w:r>
              <w:rPr>
                <w:rFonts w:hint="eastAsia" w:ascii="宋体" w:hAnsi="宋体" w:cs="宋体"/>
                <w:b/>
                <w:bCs/>
                <w:color w:val="auto"/>
                <w:sz w:val="24"/>
                <w:szCs w:val="24"/>
              </w:rPr>
              <w:t>培育资本市场。</w:t>
            </w:r>
            <w:r>
              <w:rPr>
                <w:rFonts w:hint="eastAsia" w:ascii="宋体" w:hAnsi="宋体" w:cs="宋体"/>
                <w:color w:val="auto"/>
                <w:sz w:val="24"/>
                <w:szCs w:val="24"/>
              </w:rPr>
              <w:t>巩固提升</w:t>
            </w:r>
            <w:r>
              <w:rPr>
                <w:rFonts w:hint="eastAsia" w:ascii="宋体"/>
                <w:color w:val="auto"/>
                <w:sz w:val="24"/>
                <w:szCs w:val="24"/>
              </w:rPr>
              <w:t>“</w:t>
            </w:r>
            <w:r>
              <w:rPr>
                <w:rFonts w:hint="eastAsia" w:ascii="宋体" w:hAnsi="宋体" w:cs="宋体"/>
                <w:color w:val="auto"/>
                <w:sz w:val="24"/>
                <w:szCs w:val="24"/>
              </w:rPr>
              <w:t>百舸竞帆</w:t>
            </w:r>
            <w:r>
              <w:rPr>
                <w:rFonts w:hint="eastAsia" w:ascii="宋体"/>
                <w:color w:val="auto"/>
                <w:sz w:val="24"/>
                <w:szCs w:val="24"/>
              </w:rPr>
              <w:t>”</w:t>
            </w:r>
            <w:r>
              <w:rPr>
                <w:rFonts w:hint="eastAsia" w:ascii="宋体" w:hAnsi="宋体" w:cs="宋体"/>
                <w:color w:val="auto"/>
                <w:sz w:val="24"/>
                <w:szCs w:val="24"/>
              </w:rPr>
              <w:t>企业上市挂牌行动计划，深入实施省定重点上市后备企业</w:t>
            </w:r>
            <w:r>
              <w:rPr>
                <w:rFonts w:hint="eastAsia" w:ascii="宋体" w:hAnsi="宋体" w:cs="华文仿宋"/>
                <w:color w:val="auto"/>
                <w:sz w:val="24"/>
                <w:szCs w:val="24"/>
              </w:rPr>
              <w:t>“</w:t>
            </w:r>
            <w:r>
              <w:rPr>
                <w:rFonts w:hint="eastAsia" w:ascii="宋体" w:hAnsi="宋体" w:cs="宋体"/>
                <w:color w:val="auto"/>
                <w:sz w:val="24"/>
                <w:szCs w:val="24"/>
              </w:rPr>
              <w:t>一企一策</w:t>
            </w:r>
            <w:r>
              <w:rPr>
                <w:rFonts w:hint="eastAsia" w:ascii="宋体" w:hAnsi="宋体" w:cs="华文仿宋"/>
                <w:color w:val="auto"/>
                <w:sz w:val="24"/>
                <w:szCs w:val="24"/>
              </w:rPr>
              <w:t>”</w:t>
            </w:r>
            <w:r>
              <w:rPr>
                <w:rFonts w:hint="eastAsia" w:ascii="宋体" w:hAnsi="宋体" w:cs="宋体"/>
                <w:color w:val="auto"/>
                <w:sz w:val="24"/>
                <w:szCs w:val="24"/>
              </w:rPr>
              <w:t>培育推进方案，加快重点企业上市进程，优化扩容全市上市和新三板挂牌企业后备资源库。</w:t>
            </w:r>
          </w:p>
          <w:p>
            <w:pPr>
              <w:spacing w:line="520" w:lineRule="exact"/>
              <w:ind w:firstLine="482" w:firstLineChars="200"/>
              <w:rPr>
                <w:rFonts w:ascii="宋体"/>
                <w:b/>
                <w:bCs/>
                <w:color w:val="auto"/>
                <w:sz w:val="24"/>
                <w:szCs w:val="24"/>
              </w:rPr>
            </w:pPr>
            <w:r>
              <w:rPr>
                <w:rFonts w:hint="eastAsia" w:ascii="宋体" w:hAnsi="宋体" w:cs="宋体"/>
                <w:b/>
                <w:bCs/>
                <w:color w:val="auto"/>
                <w:sz w:val="24"/>
                <w:szCs w:val="24"/>
              </w:rPr>
              <w:t>普惠金融。</w:t>
            </w:r>
            <w:r>
              <w:rPr>
                <w:rFonts w:hint="eastAsia" w:ascii="宋体" w:hAnsi="宋体" w:cs="宋体"/>
                <w:color w:val="auto"/>
                <w:sz w:val="24"/>
                <w:szCs w:val="24"/>
              </w:rPr>
              <w:t>深化民营和小微企业金融服务综合改革，有效破解小微企业和三农领域融资难题。深入推进农村综合产权抵（质）押贷款及农村集体经营性建设用地使用权抵押贷款增量扩面，不断延伸农村金融供应链。</w:t>
            </w:r>
          </w:p>
          <w:p>
            <w:pPr>
              <w:spacing w:line="520" w:lineRule="exact"/>
              <w:ind w:firstLine="482" w:firstLineChars="200"/>
              <w:rPr>
                <w:rFonts w:ascii="宋体"/>
                <w:color w:val="auto"/>
                <w:sz w:val="24"/>
                <w:szCs w:val="24"/>
              </w:rPr>
            </w:pPr>
            <w:r>
              <w:rPr>
                <w:rFonts w:hint="eastAsia" w:ascii="宋体" w:hAnsi="宋体" w:cs="宋体"/>
                <w:b/>
                <w:bCs/>
                <w:color w:val="auto"/>
                <w:sz w:val="24"/>
                <w:szCs w:val="24"/>
              </w:rPr>
              <w:t>科技金融。</w:t>
            </w:r>
            <w:r>
              <w:rPr>
                <w:rFonts w:hint="eastAsia" w:ascii="宋体" w:hAnsi="宋体" w:cs="宋体"/>
                <w:color w:val="auto"/>
                <w:sz w:val="24"/>
                <w:szCs w:val="24"/>
              </w:rPr>
              <w:t>积极对接省新兴产业投资引导基金和创业投资引导基金，实施</w:t>
            </w:r>
            <w:r>
              <w:rPr>
                <w:rFonts w:hint="eastAsia" w:ascii="宋体"/>
                <w:color w:val="auto"/>
                <w:sz w:val="24"/>
                <w:szCs w:val="24"/>
              </w:rPr>
              <w:t>“</w:t>
            </w:r>
            <w:r>
              <w:rPr>
                <w:rFonts w:hint="eastAsia" w:ascii="宋体" w:hAnsi="宋体" w:cs="宋体"/>
                <w:color w:val="auto"/>
                <w:sz w:val="24"/>
                <w:szCs w:val="24"/>
              </w:rPr>
              <w:t>天使安阳</w:t>
            </w:r>
            <w:r>
              <w:rPr>
                <w:rFonts w:hint="eastAsia" w:ascii="宋体"/>
                <w:color w:val="auto"/>
                <w:sz w:val="24"/>
                <w:szCs w:val="24"/>
              </w:rPr>
              <w:t>”“</w:t>
            </w:r>
            <w:r>
              <w:rPr>
                <w:rFonts w:hint="eastAsia" w:ascii="宋体" w:hAnsi="宋体" w:cs="宋体"/>
                <w:color w:val="auto"/>
                <w:sz w:val="24"/>
                <w:szCs w:val="24"/>
              </w:rPr>
              <w:t>金种子</w:t>
            </w:r>
            <w:r>
              <w:rPr>
                <w:rFonts w:hint="eastAsia" w:ascii="宋体"/>
                <w:color w:val="auto"/>
                <w:sz w:val="24"/>
                <w:szCs w:val="24"/>
              </w:rPr>
              <w:t>”</w:t>
            </w:r>
            <w:r>
              <w:rPr>
                <w:rFonts w:hint="eastAsia" w:ascii="宋体" w:hAnsi="宋体" w:cs="宋体"/>
                <w:color w:val="auto"/>
                <w:sz w:val="24"/>
                <w:szCs w:val="24"/>
              </w:rPr>
              <w:t>计划，研究设立科技风险投资基金，为科技型中小企业提供风险投资、股权投资。</w:t>
            </w:r>
          </w:p>
          <w:p>
            <w:pPr>
              <w:spacing w:line="520" w:lineRule="exact"/>
              <w:ind w:firstLine="482" w:firstLineChars="200"/>
              <w:rPr>
                <w:rFonts w:ascii="宋体"/>
                <w:color w:val="auto"/>
                <w:sz w:val="24"/>
                <w:szCs w:val="24"/>
              </w:rPr>
            </w:pPr>
            <w:r>
              <w:rPr>
                <w:rFonts w:hint="eastAsia" w:ascii="宋体" w:hAnsi="宋体" w:cs="宋体"/>
                <w:b/>
                <w:bCs/>
                <w:color w:val="auto"/>
                <w:sz w:val="24"/>
                <w:szCs w:val="24"/>
              </w:rPr>
              <w:t>供应链金融。</w:t>
            </w:r>
            <w:r>
              <w:rPr>
                <w:rFonts w:hint="eastAsia" w:ascii="宋体" w:hAnsi="宋体" w:cs="宋体"/>
                <w:color w:val="auto"/>
                <w:sz w:val="24"/>
                <w:szCs w:val="24"/>
              </w:rPr>
              <w:t>支持农资、新能源汽车、钢材、高端装备制造、纺织服装、绿色建材、蔬果等产业龙头企业协同金融机构，利用相关金融工具整合供应链资源，提供系统性金融解决方案，赋能实体产业高质量发展。</w:t>
            </w:r>
          </w:p>
          <w:p>
            <w:pPr>
              <w:pStyle w:val="12"/>
              <w:widowControl/>
              <w:spacing w:line="360" w:lineRule="auto"/>
              <w:ind w:firstLine="482" w:firstLineChars="200"/>
              <w:rPr>
                <w:rFonts w:ascii="Times New Roman" w:hAnsi="Times New Roman" w:eastAsia="仿宋"/>
                <w:color w:val="auto"/>
              </w:rPr>
            </w:pPr>
            <w:r>
              <w:rPr>
                <w:rFonts w:hint="eastAsia" w:ascii="宋体" w:hAnsi="宋体" w:cs="宋体"/>
                <w:b/>
                <w:bCs/>
                <w:color w:val="auto"/>
              </w:rPr>
              <w:t>绿色金融。</w:t>
            </w:r>
            <w:r>
              <w:rPr>
                <w:rFonts w:hint="eastAsia" w:ascii="宋体" w:hAnsi="宋体" w:cs="宋体"/>
                <w:color w:val="auto"/>
                <w:kern w:val="2"/>
              </w:rPr>
              <w:t>引导金融机构积极开展绿色金融业务，加大对循环经济、低碳环保等领域的支持，开展能效贷款、排污权抵押贷款等绿色信贷。</w:t>
            </w:r>
          </w:p>
        </w:tc>
      </w:tr>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、现代物流</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Times New Roman" w:eastAsia="仿宋_GB2312"/>
          <w:color w:val="auto"/>
          <w:sz w:val="32"/>
          <w:szCs w:val="32"/>
        </w:rPr>
        <w:t>加快推进陆港型国家物流枢纽建设，</w:t>
      </w:r>
      <w:r>
        <w:rPr>
          <w:rFonts w:hint="eastAsia" w:ascii="仿宋_GB2312" w:hAnsi="Times New Roman" w:eastAsia="仿宋_GB2312"/>
          <w:color w:val="auto"/>
          <w:sz w:val="32"/>
          <w:szCs w:val="32"/>
          <w:lang w:eastAsia="zh-CN"/>
        </w:rPr>
        <w:t>推动</w:t>
      </w:r>
      <w:r>
        <w:rPr>
          <w:rFonts w:hint="eastAsia" w:ascii="仿宋_GB2312" w:hAnsi="Times New Roman" w:eastAsia="仿宋_GB2312"/>
          <w:color w:val="auto"/>
          <w:sz w:val="32"/>
          <w:szCs w:val="32"/>
        </w:rPr>
        <w:t>物流业由基础性物流服务向高附加增值服务转型升级</w:t>
      </w:r>
      <w:bookmarkStart w:id="25" w:name="_Hlk64712972"/>
      <w:r>
        <w:rPr>
          <w:rFonts w:hint="eastAsia" w:ascii="仿宋_GB2312" w:hAnsi="Times New Roman" w:eastAsia="仿宋_GB2312"/>
          <w:color w:val="auto"/>
          <w:sz w:val="32"/>
          <w:szCs w:val="32"/>
        </w:rPr>
        <w:t>。</w:t>
      </w:r>
      <w:r>
        <w:rPr>
          <w:rFonts w:hint="eastAsia" w:ascii="仿宋_GB2312" w:hAnsi="华文仿宋" w:eastAsia="仿宋_GB2312" w:cs="华文仿宋"/>
          <w:color w:val="auto"/>
          <w:sz w:val="32"/>
          <w:szCs w:val="32"/>
        </w:rPr>
        <w:t>到</w:t>
      </w:r>
      <w:r>
        <w:rPr>
          <w:rFonts w:ascii="仿宋_GB2312" w:hAnsi="华文仿宋" w:eastAsia="仿宋_GB2312" w:cs="华文仿宋"/>
          <w:color w:val="auto"/>
          <w:sz w:val="32"/>
          <w:szCs w:val="32"/>
        </w:rPr>
        <w:t>2025</w:t>
      </w:r>
      <w:r>
        <w:rPr>
          <w:rFonts w:hint="eastAsia" w:ascii="仿宋_GB2312" w:hAnsi="华文仿宋" w:eastAsia="仿宋_GB2312" w:cs="华文仿宋"/>
          <w:color w:val="auto"/>
          <w:sz w:val="32"/>
          <w:szCs w:val="32"/>
        </w:rPr>
        <w:t>年，基本建成陆港型国家物流枢纽，预计全市交通运输、仓储和邮政业增加</w:t>
      </w:r>
      <w:r>
        <w:rPr>
          <w:rFonts w:hint="eastAsia" w:ascii="仿宋_GB2312" w:hAnsi="华文仿宋" w:eastAsia="仿宋_GB2312" w:cs="华文仿宋"/>
          <w:color w:val="auto"/>
          <w:sz w:val="32"/>
          <w:szCs w:val="32"/>
          <w:lang w:eastAsia="zh-CN"/>
        </w:rPr>
        <w:t>值</w:t>
      </w:r>
      <w:r>
        <w:rPr>
          <w:rFonts w:hint="eastAsia" w:ascii="仿宋_GB2312" w:hAnsi="华文仿宋" w:eastAsia="仿宋_GB2312" w:cs="华文仿宋"/>
          <w:color w:val="auto"/>
          <w:sz w:val="32"/>
          <w:szCs w:val="32"/>
        </w:rPr>
        <w:t>达到</w:t>
      </w:r>
      <w:r>
        <w:rPr>
          <w:rFonts w:ascii="仿宋_GB2312" w:hAnsi="华文仿宋" w:eastAsia="仿宋_GB2312" w:cs="华文仿宋"/>
          <w:color w:val="auto"/>
          <w:sz w:val="32"/>
          <w:szCs w:val="32"/>
        </w:rPr>
        <w:t>200</w:t>
      </w:r>
      <w:r>
        <w:rPr>
          <w:rFonts w:hint="eastAsia" w:ascii="仿宋_GB2312" w:hAnsi="华文仿宋" w:eastAsia="仿宋_GB2312" w:cs="华文仿宋"/>
          <w:color w:val="auto"/>
          <w:sz w:val="32"/>
          <w:szCs w:val="32"/>
        </w:rPr>
        <w:t>亿元</w:t>
      </w:r>
      <w:bookmarkEnd w:id="25"/>
      <w:r>
        <w:rPr>
          <w:rFonts w:hint="eastAsia" w:ascii="仿宋_GB2312" w:hAnsi="华文仿宋" w:eastAsia="仿宋_GB2312" w:cs="华文仿宋"/>
          <w:color w:val="auto"/>
          <w:sz w:val="32"/>
          <w:szCs w:val="32"/>
        </w:rPr>
        <w:t>。</w:t>
      </w:r>
    </w:p>
    <w:p>
      <w:pPr>
        <w:widowControl/>
        <w:spacing w:line="580" w:lineRule="exact"/>
        <w:ind w:firstLine="630" w:firstLineChars="196"/>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完善多式联运集疏运体系。</w:t>
      </w:r>
      <w:bookmarkStart w:id="26" w:name="_Hlk87447948"/>
      <w:r>
        <w:rPr>
          <w:rFonts w:hint="eastAsia" w:ascii="仿宋_GB2312" w:hAnsi="Times New Roman" w:eastAsia="仿宋_GB2312"/>
          <w:color w:val="auto"/>
          <w:sz w:val="32"/>
          <w:szCs w:val="32"/>
        </w:rPr>
        <w:t>围绕建设陆港型国家物流枢纽，</w:t>
      </w:r>
      <w:r>
        <w:rPr>
          <w:rFonts w:hint="eastAsia" w:ascii="仿宋_GB2312" w:hAnsi="华文仿宋" w:eastAsia="仿宋_GB2312" w:cs="华文仿宋"/>
          <w:color w:val="auto"/>
          <w:sz w:val="32"/>
          <w:szCs w:val="32"/>
        </w:rPr>
        <w:t>加快推进铁路、公路、机场的互联互通，巩固提升多式联运示范工程，建立公铁海空等多种运输方式相衔接的交通运输网络，构建“通道</w:t>
      </w:r>
      <w:r>
        <w:rPr>
          <w:rFonts w:ascii="仿宋_GB2312" w:hAnsi="华文仿宋" w:eastAsia="仿宋_GB2312" w:cs="华文仿宋"/>
          <w:color w:val="auto"/>
          <w:sz w:val="32"/>
          <w:szCs w:val="32"/>
        </w:rPr>
        <w:t>+</w:t>
      </w:r>
      <w:r>
        <w:rPr>
          <w:rFonts w:hint="eastAsia" w:ascii="仿宋_GB2312" w:hAnsi="华文仿宋" w:eastAsia="仿宋_GB2312" w:cs="华文仿宋"/>
          <w:color w:val="auto"/>
          <w:sz w:val="32"/>
          <w:szCs w:val="32"/>
        </w:rPr>
        <w:t>枢纽</w:t>
      </w:r>
      <w:r>
        <w:rPr>
          <w:rFonts w:ascii="仿宋_GB2312" w:hAnsi="华文仿宋" w:eastAsia="仿宋_GB2312" w:cs="华文仿宋"/>
          <w:color w:val="auto"/>
          <w:sz w:val="32"/>
          <w:szCs w:val="32"/>
        </w:rPr>
        <w:t>+</w:t>
      </w:r>
      <w:r>
        <w:rPr>
          <w:rFonts w:hint="eastAsia" w:ascii="仿宋_GB2312" w:hAnsi="华文仿宋" w:eastAsia="仿宋_GB2312" w:cs="华文仿宋"/>
          <w:color w:val="auto"/>
          <w:sz w:val="32"/>
          <w:szCs w:val="32"/>
        </w:rPr>
        <w:t>网络”的现代物流运行体系。加快安阳国际陆港建设，畅通出海通道，加强与东部港口的业务协同，稳定开行海铁联运班列，打造区域货物出海集散中心；优化陆向通道，全面融入国家物流枢纽网络，打造区域中欧班列始发地和目的地；开辟空中航线，畅通安阳机场与安濮鹤区域的快速通道，打造区域航空货邮中心。加快林州、滑县等区域物流枢纽和节点建设，完善全市物流设施网络。</w:t>
      </w:r>
      <w:bookmarkEnd w:id="26"/>
      <w:r>
        <w:rPr>
          <w:rFonts w:hint="eastAsia" w:ascii="仿宋_GB2312" w:hAnsi="华文仿宋" w:eastAsia="仿宋_GB2312" w:cs="华文仿宋"/>
          <w:color w:val="auto"/>
          <w:sz w:val="32"/>
          <w:szCs w:val="32"/>
        </w:rPr>
        <w:t>积极实施铁路专用线进企入园工程，加快万庄公铁物流园、大通物流园、豫北公铁物流园等公铁衔接型综合货运枢纽建设，大力推动安阳机电、钢材、农资等大宗物资“公转铁”“散改集”。</w:t>
      </w:r>
    </w:p>
    <w:p>
      <w:pPr>
        <w:spacing w:line="580" w:lineRule="exact"/>
        <w:ind w:firstLine="643" w:firstLineChars="200"/>
        <w:rPr>
          <w:rFonts w:ascii="仿宋_GB2312" w:hAnsi="华文仿宋" w:eastAsia="仿宋_GB2312" w:cs="华文仿宋"/>
          <w:bCs/>
          <w:color w:val="auto"/>
          <w:kern w:val="0"/>
          <w:sz w:val="32"/>
          <w:szCs w:val="32"/>
        </w:rPr>
      </w:pPr>
      <w:r>
        <w:rPr>
          <w:rFonts w:hint="eastAsia" w:ascii="仿宋_GB2312" w:hAnsi="Times New Roman" w:eastAsia="仿宋_GB2312"/>
          <w:b/>
          <w:color w:val="auto"/>
          <w:sz w:val="32"/>
          <w:szCs w:val="32"/>
        </w:rPr>
        <w:t>畅通城乡物流配送网络。</w:t>
      </w:r>
      <w:r>
        <w:rPr>
          <w:rFonts w:hint="eastAsia" w:ascii="仿宋_GB2312" w:hAnsi="华文仿宋" w:eastAsia="仿宋_GB2312" w:cs="华文仿宋"/>
          <w:color w:val="auto"/>
          <w:sz w:val="32"/>
          <w:szCs w:val="32"/>
        </w:rPr>
        <w:t>完善城区配送网络，鼓励企业在市、县城区优化布局物流配送网点，巩固提升城市绿色配送示范工程，加强城市配送节点和社区配送设施建设，将末端配送设施纳入社区统一管理，推进设施共享共用，构建高效畅通的“物流园区、配送中心、末端配送网点”三级城市物流配送网络。加快农村物流快递网点布局，实施“快递进村”工程，鼓励发展“多站合一”的乡镇客货邮综合服务站、“一点多能”的村级寄递物流综合服务点，推进县乡村物流共同配送，促进农村客货邮融合发展。</w:t>
      </w:r>
    </w:p>
    <w:p>
      <w:pPr>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bCs/>
          <w:color w:val="auto"/>
          <w:sz w:val="32"/>
          <w:szCs w:val="32"/>
        </w:rPr>
        <w:t>提升物流综合服务能力。</w:t>
      </w:r>
      <w:r>
        <w:rPr>
          <w:rFonts w:hint="eastAsia" w:ascii="仿宋_GB2312" w:hAnsi="Times New Roman" w:eastAsia="仿宋_GB2312"/>
          <w:bCs/>
          <w:color w:val="auto"/>
          <w:sz w:val="32"/>
          <w:szCs w:val="32"/>
        </w:rPr>
        <w:t>大力发展供应链物流、冷链物流、快递物流、电商物流、保税物流、绿色物流、智慧物流等物流新业态。</w:t>
      </w:r>
      <w:r>
        <w:rPr>
          <w:rFonts w:hint="eastAsia" w:ascii="仿宋_GB2312" w:hAnsi="Times New Roman" w:eastAsia="仿宋_GB2312"/>
          <w:color w:val="auto"/>
          <w:sz w:val="32"/>
          <w:szCs w:val="32"/>
        </w:rPr>
        <w:t>引导物流企业面向我市钢铁、煤化工、装备制造、纺织服装等产业转型升级需求，</w:t>
      </w:r>
      <w:r>
        <w:rPr>
          <w:rFonts w:hint="eastAsia" w:ascii="仿宋_GB2312" w:hAnsi="Times New Roman" w:eastAsia="仿宋_GB2312"/>
          <w:bCs/>
          <w:color w:val="auto"/>
          <w:sz w:val="32"/>
          <w:szCs w:val="32"/>
        </w:rPr>
        <w:t>创新</w:t>
      </w:r>
      <w:r>
        <w:rPr>
          <w:rFonts w:hint="eastAsia" w:ascii="仿宋_GB2312" w:hAnsi="Times New Roman" w:eastAsia="仿宋_GB2312"/>
          <w:color w:val="auto"/>
          <w:sz w:val="32"/>
          <w:szCs w:val="32"/>
        </w:rPr>
        <w:t>提升综合服务能力，为生产企业提供采购物流、入厂物流、交付物流、回收物流等精细物流服务。发挥物流对农业的支撑带动作用，加强农产品物流骨干网络和冷链物流体系建设，鼓励企业建设预冷、贮藏保鲜、分级包装等冷链物流基础设施，开展分拣、包装等流通加工业务。</w:t>
      </w:r>
      <w:r>
        <w:rPr>
          <w:rFonts w:hint="eastAsia" w:ascii="仿宋_GB2312" w:hAnsi="Times New Roman" w:eastAsia="仿宋_GB2312"/>
          <w:bCs/>
          <w:color w:val="auto"/>
          <w:sz w:val="32"/>
          <w:szCs w:val="32"/>
        </w:rPr>
        <w:t>加快智慧物流信息系统建设，强化货物在途状态查询、运输价格查询、车货动态匹配等综合信息服务。</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522" w:type="dxa"/>
            <w:vAlign w:val="center"/>
          </w:tcPr>
          <w:p>
            <w:pPr>
              <w:spacing w:line="520" w:lineRule="exact"/>
              <w:jc w:val="center"/>
              <w:rPr>
                <w:rFonts w:ascii="黑体" w:hAnsi="黑体" w:eastAsia="黑体"/>
                <w:color w:val="auto"/>
                <w:kern w:val="0"/>
                <w:sz w:val="24"/>
                <w:szCs w:val="24"/>
              </w:rPr>
            </w:pPr>
            <w:r>
              <w:rPr>
                <w:rFonts w:hint="eastAsia" w:ascii="黑体" w:hAnsi="黑体" w:eastAsia="黑体"/>
                <w:color w:val="auto"/>
                <w:sz w:val="24"/>
                <w:szCs w:val="24"/>
              </w:rPr>
              <w:t>专栏</w:t>
            </w:r>
            <w:r>
              <w:rPr>
                <w:rFonts w:ascii="黑体" w:hAnsi="黑体" w:eastAsia="黑体"/>
                <w:color w:val="auto"/>
                <w:sz w:val="24"/>
                <w:szCs w:val="24"/>
              </w:rPr>
              <w:t xml:space="preserve">3.5  </w:t>
            </w:r>
            <w:r>
              <w:rPr>
                <w:rFonts w:hint="eastAsia" w:ascii="黑体" w:hAnsi="黑体" w:eastAsia="黑体"/>
                <w:color w:val="auto"/>
                <w:sz w:val="24"/>
                <w:szCs w:val="24"/>
              </w:rPr>
              <w:t>现代物流发展支撑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多式联运枢纽。</w:t>
            </w:r>
            <w:r>
              <w:rPr>
                <w:rFonts w:hint="eastAsia" w:ascii="宋体" w:hAnsi="宋体" w:cs="宋体"/>
                <w:color w:val="auto"/>
                <w:kern w:val="0"/>
                <w:sz w:val="24"/>
                <w:szCs w:val="24"/>
              </w:rPr>
              <w:t>加快建成安阳机场，提升万庄安阳公铁物流园、林州市大通物流园、殷都区武丁物流园、文峰区象道物流园等综合服务能力，积极推进安阳豫北铁路物流产业园建设，打造多条精品多式联运品牌线路，构建便捷高效的多式联运枢纽体系。</w:t>
            </w:r>
          </w:p>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重要物流节点。</w:t>
            </w:r>
            <w:r>
              <w:rPr>
                <w:rFonts w:hint="eastAsia" w:ascii="宋体" w:hAnsi="宋体" w:cs="宋体"/>
                <w:color w:val="auto"/>
                <w:kern w:val="0"/>
                <w:sz w:val="24"/>
                <w:szCs w:val="24"/>
              </w:rPr>
              <w:t>加快滑县公铁智慧物流园、内黄县公转铁现代物流园、安阳县汽车物流园、林州市大运汽贸物流园、龙安区新四通物流园等区域物流节点建设，建立完善全市物流网络。</w:t>
            </w:r>
          </w:p>
          <w:p>
            <w:pPr>
              <w:spacing w:line="480" w:lineRule="exact"/>
              <w:ind w:firstLine="482" w:firstLineChars="200"/>
              <w:rPr>
                <w:rFonts w:ascii="宋体"/>
                <w:b/>
                <w:bCs/>
                <w:color w:val="auto"/>
                <w:kern w:val="0"/>
                <w:sz w:val="24"/>
                <w:szCs w:val="24"/>
              </w:rPr>
            </w:pPr>
            <w:r>
              <w:rPr>
                <w:rFonts w:hint="eastAsia" w:ascii="宋体" w:hAnsi="宋体" w:cs="宋体"/>
                <w:b/>
                <w:bCs/>
                <w:color w:val="auto"/>
                <w:kern w:val="0"/>
                <w:sz w:val="24"/>
                <w:szCs w:val="24"/>
              </w:rPr>
              <w:t>大宗商品物流。</w:t>
            </w:r>
            <w:r>
              <w:rPr>
                <w:rFonts w:hint="eastAsia" w:ascii="宋体" w:hAnsi="宋体" w:cs="宋体"/>
                <w:color w:val="auto"/>
                <w:kern w:val="0"/>
                <w:sz w:val="24"/>
                <w:szCs w:val="24"/>
              </w:rPr>
              <w:t>依托国家物流枢纽</w:t>
            </w:r>
            <w:r>
              <w:rPr>
                <w:rFonts w:hint="eastAsia" w:ascii="宋体"/>
                <w:color w:val="auto"/>
                <w:kern w:val="0"/>
                <w:sz w:val="24"/>
                <w:szCs w:val="24"/>
              </w:rPr>
              <w:t>“</w:t>
            </w:r>
            <w:r>
              <w:rPr>
                <w:rFonts w:hint="eastAsia" w:ascii="宋体" w:hAnsi="宋体" w:cs="宋体"/>
                <w:color w:val="auto"/>
                <w:kern w:val="0"/>
                <w:sz w:val="24"/>
                <w:szCs w:val="24"/>
              </w:rPr>
              <w:t>干线运输</w:t>
            </w:r>
            <w:r>
              <w:rPr>
                <w:rFonts w:ascii="宋体" w:hAnsi="宋体"/>
                <w:color w:val="auto"/>
                <w:kern w:val="0"/>
                <w:sz w:val="24"/>
                <w:szCs w:val="24"/>
              </w:rPr>
              <w:t>+</w:t>
            </w:r>
            <w:r>
              <w:rPr>
                <w:rFonts w:hint="eastAsia" w:ascii="宋体" w:hAnsi="宋体" w:cs="宋体"/>
                <w:color w:val="auto"/>
                <w:kern w:val="0"/>
                <w:sz w:val="24"/>
                <w:szCs w:val="24"/>
              </w:rPr>
              <w:t>区域分拨</w:t>
            </w:r>
            <w:r>
              <w:rPr>
                <w:rFonts w:hint="eastAsia" w:ascii="宋体"/>
                <w:color w:val="auto"/>
                <w:kern w:val="0"/>
                <w:sz w:val="24"/>
                <w:szCs w:val="24"/>
              </w:rPr>
              <w:t>”</w:t>
            </w:r>
            <w:r>
              <w:rPr>
                <w:rFonts w:hint="eastAsia" w:ascii="宋体" w:hAnsi="宋体" w:cs="宋体"/>
                <w:color w:val="auto"/>
                <w:kern w:val="0"/>
                <w:sz w:val="24"/>
                <w:szCs w:val="24"/>
              </w:rPr>
              <w:t>功能，引导钢材、农资、粮食等大宗商品物流嵌入国家物流枢纽服务系统，推动大宗商品物流以生产企业安排为主的传统模式向安阳枢纽为载体的集约模式转型，促进相关生产企业仓储资源合理配置。</w:t>
            </w:r>
          </w:p>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冷链物流。</w:t>
            </w:r>
            <w:r>
              <w:rPr>
                <w:rFonts w:hint="eastAsia" w:ascii="宋体" w:hAnsi="宋体" w:cs="宋体"/>
                <w:color w:val="auto"/>
                <w:kern w:val="0"/>
                <w:sz w:val="24"/>
                <w:szCs w:val="24"/>
              </w:rPr>
              <w:t>支持文峰区万邦农产品冷链物流园项目建设，加快建设北关区国药控股安阳物流中心改建项目、内黄果蔬城冷链二期项目、滑县牧原肉食品有限公司冷链物流项目、北关区沃森冷链提升项目等，建设完善一批城区鲜活农产品现代冷链物流节点。支持内黄县、滑县等</w:t>
            </w:r>
            <w:r>
              <w:rPr>
                <w:rFonts w:hint="eastAsia" w:ascii="宋体" w:hAnsi="宋体" w:cs="宋体"/>
                <w:color w:val="auto"/>
                <w:kern w:val="0"/>
                <w:sz w:val="24"/>
                <w:szCs w:val="24"/>
                <w:lang w:eastAsia="zh-CN"/>
              </w:rPr>
              <w:t>农产品</w:t>
            </w:r>
            <w:r>
              <w:rPr>
                <w:rFonts w:hint="eastAsia" w:ascii="宋体" w:hAnsi="宋体" w:cs="宋体"/>
                <w:color w:val="auto"/>
                <w:kern w:val="0"/>
                <w:sz w:val="24"/>
                <w:szCs w:val="24"/>
              </w:rPr>
              <w:t>优势产区在产地推广产品预冷，建设中转冷藏保鲜设施和配送中心，推广运输全程温控技术，构建贯穿运输、分销、零售各环节的全程冷链。</w:t>
            </w:r>
          </w:p>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配送物流。</w:t>
            </w:r>
            <w:r>
              <w:rPr>
                <w:rFonts w:hint="eastAsia" w:ascii="宋体" w:hAnsi="宋体" w:cs="宋体"/>
                <w:color w:val="auto"/>
                <w:kern w:val="0"/>
                <w:sz w:val="24"/>
                <w:szCs w:val="24"/>
              </w:rPr>
              <w:t>加快建设</w:t>
            </w:r>
            <w:r>
              <w:rPr>
                <w:rFonts w:hint="eastAsia" w:ascii="宋体" w:hAnsi="宋体" w:cs="方正仿宋_GBK"/>
                <w:color w:val="auto"/>
                <w:kern w:val="0"/>
                <w:sz w:val="24"/>
                <w:szCs w:val="24"/>
              </w:rPr>
              <w:t>“</w:t>
            </w:r>
            <w:r>
              <w:rPr>
                <w:rFonts w:hint="eastAsia" w:ascii="宋体" w:hAnsi="宋体" w:cs="宋体"/>
                <w:color w:val="auto"/>
                <w:kern w:val="0"/>
                <w:sz w:val="24"/>
                <w:szCs w:val="24"/>
              </w:rPr>
              <w:t>一枢纽、四中心、多节点</w:t>
            </w:r>
            <w:r>
              <w:rPr>
                <w:rFonts w:hint="eastAsia" w:ascii="宋体" w:hAnsi="宋体" w:cs="方正仿宋_GBK"/>
                <w:color w:val="auto"/>
                <w:kern w:val="0"/>
                <w:sz w:val="24"/>
                <w:szCs w:val="24"/>
              </w:rPr>
              <w:t>”</w:t>
            </w:r>
            <w:r>
              <w:rPr>
                <w:rFonts w:hint="eastAsia" w:ascii="宋体" w:hAnsi="宋体" w:cs="宋体"/>
                <w:color w:val="auto"/>
                <w:kern w:val="0"/>
                <w:sz w:val="24"/>
                <w:szCs w:val="24"/>
              </w:rPr>
              <w:t>的配送体系，推进配送与集中采购、批发分销、网络零售等功能整合，优化网购商品在各县（市、区）分布式存储，发展集中仓储和共同配送，推动供、销、配、存、运一体化发展。</w:t>
            </w:r>
          </w:p>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应急物流。</w:t>
            </w:r>
            <w:r>
              <w:rPr>
                <w:rFonts w:hint="eastAsia" w:ascii="宋体" w:hAnsi="宋体" w:cs="宋体"/>
                <w:color w:val="auto"/>
                <w:kern w:val="0"/>
                <w:sz w:val="24"/>
                <w:szCs w:val="24"/>
              </w:rPr>
              <w:t>依托国家物流枢纽和重点物流园区，优化应急物资储备空间布局，建立制度化的应急响应机制和协同机制，提高安阳及周边地区的救灾物资、粮食、医药、疫苗等应急物流快速响应和保障水平。</w:t>
            </w:r>
          </w:p>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保税物流。</w:t>
            </w:r>
            <w:r>
              <w:rPr>
                <w:rFonts w:hint="eastAsia" w:ascii="宋体" w:hAnsi="宋体" w:cs="宋体"/>
                <w:color w:val="auto"/>
                <w:kern w:val="0"/>
                <w:sz w:val="24"/>
                <w:szCs w:val="24"/>
              </w:rPr>
              <w:t>完善陆港型国家物流枢纽口岸功能，加快建设安阳保税物流中心，加强与沿边口岸、沿海港口协同联动，提升国际物流通关效率，稳定运行中欧班列、铁海联运班列，打造区域进出口货物集散中心。</w:t>
            </w:r>
          </w:p>
          <w:p>
            <w:pPr>
              <w:spacing w:line="480" w:lineRule="exact"/>
              <w:ind w:firstLine="482" w:firstLineChars="200"/>
              <w:rPr>
                <w:rFonts w:ascii="宋体"/>
                <w:color w:val="auto"/>
                <w:kern w:val="0"/>
                <w:sz w:val="24"/>
                <w:szCs w:val="24"/>
              </w:rPr>
            </w:pPr>
            <w:r>
              <w:rPr>
                <w:rFonts w:hint="eastAsia" w:ascii="宋体" w:hAnsi="宋体" w:cs="宋体"/>
                <w:b/>
                <w:bCs/>
                <w:color w:val="auto"/>
                <w:kern w:val="0"/>
                <w:sz w:val="24"/>
                <w:szCs w:val="24"/>
              </w:rPr>
              <w:t>绿色物流。</w:t>
            </w:r>
            <w:r>
              <w:rPr>
                <w:rFonts w:hint="eastAsia" w:ascii="宋体" w:hAnsi="宋体" w:cs="宋体"/>
                <w:color w:val="auto"/>
                <w:kern w:val="0"/>
                <w:sz w:val="24"/>
                <w:szCs w:val="24"/>
              </w:rPr>
              <w:t>积极推广绿色低碳技术，鼓励企业采用节能和清洁能源运输工具与物流装备，推广应用节能型绿色仓储设施，发展回收物流，提高逆向物流服务水平。支持寄递企业使用低重高强包装箱，全面推广应用</w:t>
            </w:r>
            <w:r>
              <w:rPr>
                <w:rFonts w:hint="eastAsia" w:ascii="宋体"/>
                <w:color w:val="auto"/>
                <w:kern w:val="0"/>
                <w:sz w:val="24"/>
                <w:szCs w:val="24"/>
              </w:rPr>
              <w:t>“</w:t>
            </w:r>
            <w:r>
              <w:rPr>
                <w:rFonts w:hint="eastAsia" w:ascii="宋体" w:hAnsi="宋体" w:cs="宋体"/>
                <w:color w:val="auto"/>
                <w:kern w:val="0"/>
                <w:sz w:val="24"/>
                <w:szCs w:val="24"/>
              </w:rPr>
              <w:t>瘦身胶带</w:t>
            </w:r>
            <w:r>
              <w:rPr>
                <w:rFonts w:hint="eastAsia" w:ascii="宋体"/>
                <w:color w:val="auto"/>
                <w:kern w:val="0"/>
                <w:sz w:val="24"/>
                <w:szCs w:val="24"/>
              </w:rPr>
              <w:t>”</w:t>
            </w:r>
            <w:r>
              <w:rPr>
                <w:rFonts w:hint="eastAsia" w:ascii="宋体" w:hAnsi="宋体" w:cs="宋体"/>
                <w:color w:val="auto"/>
                <w:kern w:val="0"/>
                <w:sz w:val="24"/>
                <w:szCs w:val="24"/>
              </w:rPr>
              <w:t>，试点应用免胶带纸箱，减少邮件快件包装用量。</w:t>
            </w:r>
          </w:p>
          <w:p>
            <w:pPr>
              <w:spacing w:line="480" w:lineRule="exact"/>
              <w:ind w:firstLine="482" w:firstLineChars="200"/>
              <w:rPr>
                <w:color w:val="auto"/>
              </w:rPr>
            </w:pPr>
            <w:r>
              <w:rPr>
                <w:rFonts w:hint="eastAsia" w:ascii="宋体" w:hAnsi="宋体" w:cs="宋体"/>
                <w:b/>
                <w:bCs/>
                <w:color w:val="auto"/>
                <w:kern w:val="0"/>
                <w:sz w:val="24"/>
                <w:szCs w:val="24"/>
              </w:rPr>
              <w:t>供应链管理优化。</w:t>
            </w:r>
            <w:r>
              <w:rPr>
                <w:rFonts w:hint="eastAsia" w:ascii="宋体" w:hAnsi="宋体" w:cs="宋体"/>
                <w:color w:val="auto"/>
                <w:kern w:val="0"/>
                <w:sz w:val="24"/>
                <w:szCs w:val="24"/>
              </w:rPr>
              <w:t>重点依托国家物流枢纽，打造枢纽供应链服务平台，增强以多式联运为核心的供应链一体化服务，引导重点制造业、商贸业深度应用物流供应链管理，提升信息、资金、物流等配置流通效率，推动上下游企业实现协同采购、协同生产、协同物流，降低企业成本。</w:t>
            </w:r>
          </w:p>
        </w:tc>
      </w:tr>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4</w:t>
      </w:r>
      <w:r>
        <w:rPr>
          <w:rFonts w:hint="eastAsia" w:ascii="仿宋_GB2312" w:hAnsi="方正仿宋_GBK" w:eastAsia="仿宋_GB2312" w:cs="方正仿宋_GBK"/>
          <w:color w:val="auto"/>
        </w:rPr>
        <w:t>、现代商贸</w:t>
      </w:r>
    </w:p>
    <w:p>
      <w:pPr>
        <w:spacing w:line="580" w:lineRule="exact"/>
        <w:ind w:firstLine="640" w:firstLineChars="200"/>
        <w:rPr>
          <w:rFonts w:ascii="仿宋_GB2312" w:hAnsi="华文仿宋" w:eastAsia="仿宋_GB2312" w:cs="华文仿宋"/>
          <w:color w:val="auto"/>
          <w:kern w:val="0"/>
          <w:sz w:val="32"/>
          <w:szCs w:val="32"/>
        </w:rPr>
      </w:pPr>
      <w:r>
        <w:rPr>
          <w:rFonts w:hint="eastAsia" w:ascii="仿宋_GB2312" w:hAnsi="Times New Roman" w:eastAsia="仿宋_GB2312"/>
          <w:color w:val="auto"/>
          <w:kern w:val="0"/>
          <w:sz w:val="32"/>
          <w:szCs w:val="32"/>
        </w:rPr>
        <w:t>加快传统商贸服务改造提升，推进线上线下融合发展，</w:t>
      </w:r>
      <w:r>
        <w:rPr>
          <w:rFonts w:hint="eastAsia" w:ascii="仿宋_GB2312" w:hAnsi="华文仿宋" w:eastAsia="仿宋_GB2312" w:cs="华文仿宋"/>
          <w:color w:val="auto"/>
          <w:kern w:val="0"/>
          <w:sz w:val="32"/>
          <w:szCs w:val="32"/>
        </w:rPr>
        <w:t>建设区域现代商贸中心。到</w:t>
      </w:r>
      <w:r>
        <w:rPr>
          <w:rFonts w:ascii="仿宋_GB2312" w:hAnsi="华文仿宋" w:eastAsia="仿宋_GB2312" w:cs="华文仿宋"/>
          <w:color w:val="auto"/>
          <w:kern w:val="0"/>
          <w:sz w:val="32"/>
          <w:szCs w:val="32"/>
        </w:rPr>
        <w:t>2025</w:t>
      </w:r>
      <w:r>
        <w:rPr>
          <w:rFonts w:hint="eastAsia" w:ascii="仿宋_GB2312" w:hAnsi="华文仿宋" w:eastAsia="仿宋_GB2312" w:cs="华文仿宋"/>
          <w:color w:val="auto"/>
          <w:kern w:val="0"/>
          <w:sz w:val="32"/>
          <w:szCs w:val="32"/>
        </w:rPr>
        <w:t>年，预计全市社会消费品零售总额突破</w:t>
      </w:r>
      <w:r>
        <w:rPr>
          <w:rFonts w:ascii="仿宋_GB2312" w:hAnsi="华文仿宋" w:eastAsia="仿宋_GB2312" w:cs="华文仿宋"/>
          <w:color w:val="auto"/>
          <w:kern w:val="0"/>
          <w:sz w:val="32"/>
          <w:szCs w:val="32"/>
        </w:rPr>
        <w:t>1200</w:t>
      </w:r>
      <w:r>
        <w:rPr>
          <w:rFonts w:hint="eastAsia" w:ascii="仿宋_GB2312" w:hAnsi="华文仿宋" w:eastAsia="仿宋_GB2312" w:cs="华文仿宋"/>
          <w:color w:val="auto"/>
          <w:kern w:val="0"/>
          <w:sz w:val="32"/>
          <w:szCs w:val="32"/>
        </w:rPr>
        <w:t>亿元。</w:t>
      </w:r>
    </w:p>
    <w:p>
      <w:pPr>
        <w:spacing w:line="580" w:lineRule="exact"/>
        <w:ind w:firstLine="643" w:firstLineChars="200"/>
        <w:rPr>
          <w:rFonts w:ascii="仿宋_GB2312" w:hAnsi="Times New Roman" w:eastAsia="仿宋_GB2312"/>
          <w:bCs/>
          <w:color w:val="auto"/>
          <w:kern w:val="0"/>
          <w:sz w:val="32"/>
          <w:szCs w:val="32"/>
        </w:rPr>
      </w:pPr>
      <w:r>
        <w:rPr>
          <w:rFonts w:hint="eastAsia" w:ascii="仿宋_GB2312" w:hAnsi="Times New Roman" w:eastAsia="仿宋_GB2312"/>
          <w:b/>
          <w:bCs/>
          <w:color w:val="auto"/>
          <w:kern w:val="0"/>
          <w:sz w:val="32"/>
          <w:szCs w:val="32"/>
        </w:rPr>
        <w:t>推进传统市场转型升级。</w:t>
      </w:r>
      <w:r>
        <w:rPr>
          <w:rFonts w:hint="eastAsia" w:ascii="仿宋_GB2312" w:hAnsi="Times New Roman" w:eastAsia="仿宋_GB2312"/>
          <w:color w:val="auto"/>
          <w:kern w:val="0"/>
          <w:sz w:val="32"/>
          <w:szCs w:val="32"/>
        </w:rPr>
        <w:t>积极盘活市场闲置空间资源，推动传统市场改造提升，加快建设新型市场，引导市场空间合理调整，支持各县（市、区）依托产品资源优势建设产地型专业市场，形成中心城区内市场以生活类零售服务为主、城区外市场以生产服务为主、各县（市、区）专业市场错位发展的市场功能体系。</w:t>
      </w:r>
      <w:r>
        <w:rPr>
          <w:rFonts w:hint="eastAsia" w:ascii="仿宋_GB2312" w:hAnsi="仿宋_GB2312" w:eastAsia="仿宋_GB2312" w:cs="仿宋_GB2312"/>
          <w:color w:val="auto"/>
          <w:sz w:val="32"/>
          <w:szCs w:val="32"/>
        </w:rPr>
        <w:t>推动建设一批高品位特色商业街区，</w:t>
      </w:r>
      <w:r>
        <w:rPr>
          <w:rFonts w:hint="eastAsia" w:ascii="仿宋_GB2312" w:hAnsi="Times New Roman" w:eastAsia="仿宋_GB2312"/>
          <w:color w:val="auto"/>
          <w:kern w:val="0"/>
          <w:sz w:val="32"/>
          <w:szCs w:val="32"/>
        </w:rPr>
        <w:t>完善服务功能、强化环境综合整治，有机融合历史文化、城市记忆、产业特点等多元要素，打造一批经营业态丰富、质量品质优良、品牌特色突出、服务环境优美、独具安阳风情的重点商贸街区。</w:t>
      </w:r>
    </w:p>
    <w:p>
      <w:pPr>
        <w:pStyle w:val="12"/>
        <w:widowControl/>
        <w:spacing w:line="580" w:lineRule="exact"/>
        <w:ind w:firstLine="643" w:firstLineChars="200"/>
        <w:jc w:val="both"/>
        <w:rPr>
          <w:rFonts w:ascii="仿宋_GB2312" w:hAnsi="Times New Roman" w:eastAsia="仿宋_GB2312" w:cs="??"/>
          <w:color w:val="auto"/>
          <w:sz w:val="32"/>
          <w:szCs w:val="32"/>
        </w:rPr>
      </w:pPr>
      <w:r>
        <w:rPr>
          <w:rFonts w:hint="eastAsia" w:ascii="仿宋_GB2312" w:hAnsi="仿宋_GB2312" w:eastAsia="仿宋_GB2312" w:cs="仿宋_GB2312"/>
          <w:b/>
          <w:bCs/>
          <w:color w:val="auto"/>
          <w:sz w:val="32"/>
          <w:szCs w:val="32"/>
        </w:rPr>
        <w:t>推动传统零售业态创新。</w:t>
      </w:r>
      <w:r>
        <w:rPr>
          <w:rFonts w:hint="eastAsia" w:ascii="仿宋_GB2312" w:hAnsi="仿宋_GB2312" w:eastAsia="仿宋_GB2312" w:cs="仿宋_GB2312"/>
          <w:color w:val="auto"/>
          <w:sz w:val="32"/>
          <w:szCs w:val="32"/>
        </w:rPr>
        <w:t>加快实体商业数字化、智能化改造，大力推进一批无人便利店、盒马鲜生、专卖体验店等新零售商店建设，推动传统零售向个性化、体验式服务转变。</w:t>
      </w:r>
      <w:r>
        <w:rPr>
          <w:rFonts w:hint="eastAsia" w:ascii="仿宋_GB2312" w:hAnsi="Times New Roman" w:eastAsia="仿宋_GB2312"/>
          <w:color w:val="auto"/>
          <w:sz w:val="32"/>
          <w:szCs w:val="32"/>
        </w:rPr>
        <w:t>鼓励</w:t>
      </w:r>
      <w:r>
        <w:rPr>
          <w:rFonts w:hint="eastAsia" w:ascii="仿宋_GB2312" w:hAnsi="Times New Roman" w:eastAsia="仿宋_GB2312"/>
          <w:bCs/>
          <w:color w:val="auto"/>
          <w:sz w:val="32"/>
          <w:szCs w:val="32"/>
        </w:rPr>
        <w:t>大型商业综合体</w:t>
      </w:r>
      <w:r>
        <w:rPr>
          <w:rFonts w:hint="eastAsia" w:ascii="仿宋_GB2312" w:hAnsi="Times New Roman" w:eastAsia="仿宋_GB2312"/>
          <w:color w:val="auto"/>
          <w:sz w:val="32"/>
          <w:szCs w:val="32"/>
        </w:rPr>
        <w:t>提升零售比例，融入商务、酒店、餐饮、文化、休闲等功能，向体验型市场升级。</w:t>
      </w:r>
      <w:r>
        <w:rPr>
          <w:rFonts w:hint="eastAsia" w:ascii="仿宋_GB2312" w:hAnsi="仿宋_GB2312" w:eastAsia="仿宋_GB2312" w:cs="仿宋_GB2312"/>
          <w:color w:val="auto"/>
          <w:sz w:val="32"/>
          <w:szCs w:val="32"/>
        </w:rPr>
        <w:t>引进一批知名企业建设大型商业综合体项目，做好各县（市、区）商业综合体规划，激活商业发展活力。</w:t>
      </w:r>
      <w:r>
        <w:rPr>
          <w:rFonts w:hint="eastAsia" w:ascii="仿宋_GB2312" w:hAnsi="Times New Roman" w:eastAsia="仿宋_GB2312" w:cs="??"/>
          <w:color w:val="auto"/>
          <w:sz w:val="32"/>
          <w:szCs w:val="32"/>
        </w:rPr>
        <w:t>支持市场商户利用第三方平台拓展线上销售渠道，推进网商平台与实体市场的联动发展和双向赋能，推动传统商圈向高效便捷的智慧商圈转型升级。</w:t>
      </w:r>
    </w:p>
    <w:p>
      <w:pPr>
        <w:spacing w:line="580" w:lineRule="exact"/>
        <w:ind w:firstLine="643" w:firstLineChars="200"/>
        <w:rPr>
          <w:rFonts w:ascii="仿宋_GB2312" w:hAnsi="Times New Roman" w:eastAsia="仿宋_GB2312"/>
          <w:color w:val="auto"/>
          <w:kern w:val="0"/>
          <w:sz w:val="32"/>
          <w:szCs w:val="32"/>
        </w:rPr>
      </w:pPr>
      <w:r>
        <w:rPr>
          <w:rFonts w:hint="eastAsia" w:ascii="仿宋_GB2312" w:hAnsi="Times New Roman" w:eastAsia="仿宋_GB2312"/>
          <w:b/>
          <w:bCs/>
          <w:color w:val="auto"/>
          <w:kern w:val="0"/>
          <w:sz w:val="32"/>
          <w:szCs w:val="32"/>
        </w:rPr>
        <w:t>培育发展现代专业市场。</w:t>
      </w:r>
      <w:r>
        <w:rPr>
          <w:rFonts w:hint="eastAsia" w:ascii="仿宋_GB2312" w:hAnsi="Times New Roman" w:eastAsia="仿宋_GB2312"/>
          <w:color w:val="auto"/>
          <w:kern w:val="0"/>
          <w:sz w:val="32"/>
          <w:szCs w:val="32"/>
          <w:lang w:eastAsia="zh-CN"/>
        </w:rPr>
        <w:t>以粮食、</w:t>
      </w:r>
      <w:r>
        <w:rPr>
          <w:rFonts w:hint="eastAsia" w:ascii="仿宋_GB2312" w:hAnsi="Times New Roman" w:eastAsia="仿宋_GB2312"/>
          <w:color w:val="auto"/>
          <w:kern w:val="0"/>
          <w:sz w:val="32"/>
          <w:szCs w:val="32"/>
        </w:rPr>
        <w:t>钢材、</w:t>
      </w:r>
      <w:r>
        <w:rPr>
          <w:rFonts w:hint="eastAsia" w:ascii="仿宋_GB2312" w:hAnsi="Times New Roman" w:eastAsia="仿宋_GB2312"/>
          <w:color w:val="auto"/>
          <w:kern w:val="0"/>
          <w:sz w:val="32"/>
          <w:szCs w:val="32"/>
          <w:lang w:eastAsia="zh-CN"/>
        </w:rPr>
        <w:t>农资、</w:t>
      </w:r>
      <w:r>
        <w:rPr>
          <w:rFonts w:hint="eastAsia" w:ascii="仿宋_GB2312" w:hAnsi="Times New Roman" w:eastAsia="仿宋_GB2312"/>
          <w:color w:val="auto"/>
          <w:kern w:val="0"/>
          <w:sz w:val="32"/>
          <w:szCs w:val="32"/>
        </w:rPr>
        <w:t>汽车及配件、纺织服装、高端陶瓷、花卉苗木、果蔬批发、农副产品等</w:t>
      </w:r>
      <w:r>
        <w:rPr>
          <w:rFonts w:hint="eastAsia" w:ascii="仿宋_GB2312" w:hAnsi="Times New Roman" w:eastAsia="仿宋_GB2312"/>
          <w:color w:val="auto"/>
          <w:kern w:val="0"/>
          <w:sz w:val="32"/>
          <w:szCs w:val="32"/>
          <w:lang w:eastAsia="zh-CN"/>
        </w:rPr>
        <w:t>，</w:t>
      </w:r>
      <w:r>
        <w:rPr>
          <w:rFonts w:hint="eastAsia" w:ascii="仿宋_GB2312" w:hAnsi="Times New Roman" w:eastAsia="仿宋_GB2312"/>
          <w:color w:val="auto"/>
          <w:kern w:val="0"/>
          <w:sz w:val="32"/>
          <w:szCs w:val="32"/>
        </w:rPr>
        <w:t>建设完善市场基础设施、功能配套，鼓励专业市场搭建采购平台，建设仓储基地，以赋能商户为核心，以数据驱动为手段，向高端服务型、总部型、展贸型、电商化、创业创新型等现代市场转型发展。</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67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黑体" w:hAnsi="黑体" w:eastAsia="黑体"/>
                <w:color w:val="auto"/>
                <w:sz w:val="24"/>
                <w:szCs w:val="24"/>
              </w:rPr>
            </w:pPr>
            <w:r>
              <w:rPr>
                <w:rFonts w:hint="eastAsia" w:ascii="黑体" w:hAnsi="黑体" w:eastAsia="黑体"/>
                <w:color w:val="auto"/>
                <w:sz w:val="24"/>
                <w:szCs w:val="24"/>
              </w:rPr>
              <w:t>专栏</w:t>
            </w:r>
            <w:r>
              <w:rPr>
                <w:rFonts w:ascii="黑体" w:hAnsi="黑体" w:eastAsia="黑体"/>
                <w:color w:val="auto"/>
                <w:sz w:val="24"/>
                <w:szCs w:val="24"/>
              </w:rPr>
              <w:t xml:space="preserve">3.6  </w:t>
            </w:r>
            <w:r>
              <w:rPr>
                <w:rFonts w:hint="eastAsia" w:ascii="黑体" w:hAnsi="黑体" w:eastAsia="黑体"/>
                <w:color w:val="auto"/>
                <w:sz w:val="24"/>
                <w:szCs w:val="24"/>
              </w:rPr>
              <w:t>现代商贸发展支撑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7" w:hRule="atLeast"/>
          <w:jc w:val="center"/>
        </w:trPr>
        <w:tc>
          <w:tcPr>
            <w:tcW w:w="867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重点项目。</w:t>
            </w:r>
            <w:r>
              <w:rPr>
                <w:rFonts w:hint="eastAsia" w:ascii="宋体" w:hAnsi="宋体" w:cs="宋体"/>
                <w:color w:val="auto"/>
                <w:kern w:val="0"/>
                <w:sz w:val="24"/>
                <w:szCs w:val="24"/>
              </w:rPr>
              <w:t>文峰区吾悦广场、安阳中深中心、居然之家，北关区柏庄产城融合示范园，龙安区万达广场综合体、商务中心，安阳县国际金融中心、海悦国际大厦、利源广场、首建安阳中心，内黄县万洋国际城市综合体，汤阴县滨河新城、中石化易捷大厦，林州市凤宝大厦、永和伯爵酒店，滑县投资大厦。</w:t>
            </w:r>
          </w:p>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特色商业街区。</w:t>
            </w:r>
            <w:r>
              <w:rPr>
                <w:rFonts w:hint="eastAsia" w:ascii="宋体" w:hAnsi="宋体" w:cs="宋体"/>
                <w:color w:val="auto"/>
                <w:kern w:val="0"/>
                <w:sz w:val="24"/>
                <w:szCs w:val="24"/>
              </w:rPr>
              <w:t>以古城保护工程为引领，创新提升安阳古城、道口古镇、水冶老街、岳庙古街等特色街区的服务业态，促进城区商贸与旅游休闲、文化创意、餐饮住宿等业态融合发展。</w:t>
            </w:r>
          </w:p>
          <w:p>
            <w:pPr>
              <w:spacing w:line="520" w:lineRule="exact"/>
              <w:ind w:firstLine="482" w:firstLineChars="200"/>
              <w:rPr>
                <w:color w:val="auto"/>
              </w:rPr>
            </w:pPr>
            <w:r>
              <w:rPr>
                <w:rFonts w:hint="eastAsia" w:ascii="宋体" w:hAnsi="宋体" w:cs="宋体"/>
                <w:b/>
                <w:bCs/>
                <w:color w:val="auto"/>
                <w:kern w:val="0"/>
                <w:sz w:val="24"/>
                <w:szCs w:val="24"/>
              </w:rPr>
              <w:t>现代专业市场。</w:t>
            </w:r>
            <w:r>
              <w:rPr>
                <w:rFonts w:hint="eastAsia" w:ascii="宋体" w:hAnsi="宋体" w:cs="宋体"/>
                <w:color w:val="auto"/>
                <w:kern w:val="0"/>
                <w:sz w:val="24"/>
                <w:szCs w:val="24"/>
              </w:rPr>
              <w:t>建设完善万庄期货交割物流园、欧蓓莎环球港、内黄果蔬城、龙安区汽车后市场产业园、龙泉花卉苗木交易市场、安阳国际汽车城、滑县齿科材料产业园等专业市场，培育一批规范化、智慧化现代专业市场。</w:t>
            </w:r>
          </w:p>
        </w:tc>
      </w:tr>
    </w:tbl>
    <w:p>
      <w:pPr>
        <w:pStyle w:val="3"/>
        <w:spacing w:line="580" w:lineRule="exact"/>
        <w:rPr>
          <w:rFonts w:ascii="楷体_GB2312" w:hAnsi="华文楷体" w:eastAsia="楷体_GB2312" w:cs="华文楷体"/>
          <w:color w:val="auto"/>
        </w:rPr>
      </w:pPr>
      <w:bookmarkStart w:id="27" w:name="_Toc99813099"/>
      <w:r>
        <w:rPr>
          <w:rFonts w:ascii="楷体_GB2312" w:hAnsi="华文楷体" w:eastAsia="楷体_GB2312" w:cs="华文楷体"/>
          <w:color w:val="auto"/>
        </w:rPr>
        <w:t xml:space="preserve">    </w:t>
      </w:r>
      <w:r>
        <w:rPr>
          <w:rFonts w:hint="eastAsia" w:ascii="楷体_GB2312" w:hAnsi="华文楷体" w:eastAsia="楷体_GB2312" w:cs="华文楷体"/>
          <w:color w:val="auto"/>
        </w:rPr>
        <w:t>（二）培育壮大成长型服务业</w:t>
      </w:r>
      <w:bookmarkEnd w:id="27"/>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、科技服务</w:t>
      </w:r>
    </w:p>
    <w:p>
      <w:pPr>
        <w:spacing w:line="580" w:lineRule="exact"/>
        <w:ind w:firstLine="640" w:firstLineChars="200"/>
        <w:rPr>
          <w:rFonts w:ascii="仿宋_GB2312" w:hAnsi="华文仿宋" w:eastAsia="仿宋_GB2312" w:cs="华文仿宋"/>
          <w:bCs/>
          <w:color w:val="auto"/>
          <w:sz w:val="32"/>
          <w:szCs w:val="32"/>
        </w:rPr>
      </w:pPr>
      <w:r>
        <w:rPr>
          <w:rFonts w:hint="eastAsia" w:ascii="仿宋_GB2312" w:hAnsi="Times New Roman" w:eastAsia="仿宋_GB2312"/>
          <w:bCs/>
          <w:color w:val="auto"/>
          <w:sz w:val="32"/>
          <w:szCs w:val="32"/>
        </w:rPr>
        <w:t>积极实施创新驱动战略，培育科技服务主体，重点发展技术转移、创业孵化、研发设计和检验检测等领域，构建覆盖科技全链条、产品生命全周期的科技服务体系，全面提升科技服务对</w:t>
      </w:r>
      <w:r>
        <w:rPr>
          <w:rFonts w:hint="eastAsia" w:ascii="仿宋_GB2312" w:hAnsi="华文仿宋" w:eastAsia="仿宋_GB2312" w:cs="华文仿宋"/>
          <w:bCs/>
          <w:color w:val="auto"/>
          <w:sz w:val="32"/>
          <w:szCs w:val="32"/>
        </w:rPr>
        <w:t>科技创新和产业发展的支撑能力。到</w:t>
      </w:r>
      <w:r>
        <w:rPr>
          <w:rFonts w:ascii="仿宋_GB2312" w:hAnsi="华文仿宋" w:eastAsia="仿宋_GB2312" w:cs="华文仿宋"/>
          <w:bCs/>
          <w:color w:val="auto"/>
          <w:sz w:val="32"/>
          <w:szCs w:val="32"/>
        </w:rPr>
        <w:t>2025</w:t>
      </w:r>
      <w:r>
        <w:rPr>
          <w:rFonts w:hint="eastAsia" w:ascii="仿宋_GB2312" w:hAnsi="华文仿宋" w:eastAsia="仿宋_GB2312" w:cs="华文仿宋"/>
          <w:bCs/>
          <w:color w:val="auto"/>
          <w:sz w:val="32"/>
          <w:szCs w:val="32"/>
        </w:rPr>
        <w:t>年，预计高新技术企业达到</w:t>
      </w:r>
      <w:r>
        <w:rPr>
          <w:rFonts w:ascii="仿宋_GB2312" w:hAnsi="华文仿宋" w:eastAsia="仿宋_GB2312" w:cs="华文仿宋"/>
          <w:bCs/>
          <w:color w:val="auto"/>
          <w:sz w:val="32"/>
          <w:szCs w:val="32"/>
        </w:rPr>
        <w:t>400</w:t>
      </w:r>
      <w:r>
        <w:rPr>
          <w:rFonts w:hint="eastAsia" w:ascii="仿宋_GB2312" w:hAnsi="华文仿宋" w:eastAsia="仿宋_GB2312" w:cs="华文仿宋"/>
          <w:bCs/>
          <w:color w:val="auto"/>
          <w:sz w:val="32"/>
          <w:szCs w:val="32"/>
        </w:rPr>
        <w:t>家，全社会研发投入年均增长</w:t>
      </w:r>
      <w:r>
        <w:rPr>
          <w:rFonts w:ascii="仿宋_GB2312" w:hAnsi="华文仿宋" w:eastAsia="仿宋_GB2312" w:cs="华文仿宋"/>
          <w:bCs/>
          <w:color w:val="auto"/>
          <w:sz w:val="32"/>
          <w:szCs w:val="32"/>
        </w:rPr>
        <w:t>21%</w:t>
      </w:r>
      <w:r>
        <w:rPr>
          <w:rFonts w:hint="eastAsia" w:ascii="仿宋_GB2312" w:hAnsi="华文仿宋" w:eastAsia="仿宋_GB2312" w:cs="华文仿宋"/>
          <w:bCs/>
          <w:color w:val="auto"/>
          <w:sz w:val="32"/>
          <w:szCs w:val="32"/>
        </w:rPr>
        <w:t>以上。</w:t>
      </w:r>
    </w:p>
    <w:p>
      <w:pPr>
        <w:spacing w:line="580" w:lineRule="exact"/>
        <w:ind w:firstLine="643" w:firstLineChars="200"/>
        <w:rPr>
          <w:rFonts w:ascii="仿宋_GB2312" w:hAnsi="Times New Roman" w:eastAsia="仿宋_GB2312"/>
          <w:color w:val="auto"/>
          <w:sz w:val="32"/>
          <w:szCs w:val="32"/>
          <w:u w:val="single"/>
        </w:rPr>
      </w:pPr>
      <w:r>
        <w:rPr>
          <w:rFonts w:hint="eastAsia" w:ascii="仿宋_GB2312" w:hAnsi="Times New Roman" w:eastAsia="仿宋_GB2312"/>
          <w:b/>
          <w:color w:val="auto"/>
          <w:sz w:val="32"/>
          <w:szCs w:val="32"/>
        </w:rPr>
        <w:t>推动科技服务平台建设。</w:t>
      </w:r>
      <w:r>
        <w:rPr>
          <w:rFonts w:hint="eastAsia" w:ascii="仿宋_GB2312" w:hAnsi="Times New Roman" w:eastAsia="仿宋_GB2312"/>
          <w:bCs/>
          <w:color w:val="auto"/>
          <w:sz w:val="32"/>
          <w:szCs w:val="32"/>
        </w:rPr>
        <w:t>依托安阳国家高新技术产业开发区、红旗渠国家经济技术开发区、林</w:t>
      </w:r>
      <w:r>
        <w:rPr>
          <w:rFonts w:hint="eastAsia" w:ascii="仿宋_GB2312" w:hAnsi="华文仿宋" w:eastAsia="仿宋_GB2312" w:cs="华文仿宋"/>
          <w:bCs/>
          <w:color w:val="auto"/>
          <w:sz w:val="32"/>
          <w:szCs w:val="32"/>
        </w:rPr>
        <w:t>州市国家</w:t>
      </w:r>
      <w:r>
        <w:rPr>
          <w:rFonts w:ascii="仿宋_GB2312" w:hAnsi="华文仿宋" w:eastAsia="仿宋_GB2312" w:cs="华文仿宋"/>
          <w:bCs/>
          <w:color w:val="auto"/>
          <w:sz w:val="32"/>
          <w:szCs w:val="32"/>
        </w:rPr>
        <w:t>863</w:t>
      </w:r>
      <w:r>
        <w:rPr>
          <w:rFonts w:hint="eastAsia" w:ascii="仿宋_GB2312" w:hAnsi="华文仿宋" w:eastAsia="仿宋_GB2312" w:cs="华文仿宋"/>
          <w:bCs/>
          <w:color w:val="auto"/>
          <w:sz w:val="32"/>
          <w:szCs w:val="32"/>
        </w:rPr>
        <w:t>红</w:t>
      </w:r>
      <w:r>
        <w:rPr>
          <w:rFonts w:hint="eastAsia" w:ascii="仿宋_GB2312" w:hAnsi="Times New Roman" w:eastAsia="仿宋_GB2312"/>
          <w:bCs/>
          <w:color w:val="auto"/>
          <w:sz w:val="32"/>
          <w:szCs w:val="32"/>
        </w:rPr>
        <w:t>旗渠科技产业园、先进制造业开发区等，引进和建设一批科技创新、创业孵化、检验检测等科技服务平台，积极创建一批省级重点实验室、检测检验中心、中试基地等重大平台，构建科技创新有效供给体系。加快安阳科技创新研究院建设发展，建设综合性科技创新公共服务平台。巩固扩容中原学者工作站、院士工作中心，建立高端人才引领创新发展合作机制。依托安阳大学科技园、国家级科技企业孵化器（众创空间）等创新创业孵化平台，完善创新创业公共服务体系。在通用航空、精品钢、康复医疗、智能装备、食品医药等领域建设一批高水平的检验检测认证机构，构建专业权威的检验检测认证服务体系。</w:t>
      </w:r>
    </w:p>
    <w:p>
      <w:pPr>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color w:val="auto"/>
          <w:sz w:val="32"/>
          <w:szCs w:val="32"/>
        </w:rPr>
        <w:t>提升企业研发创新能力。</w:t>
      </w:r>
      <w:r>
        <w:rPr>
          <w:rFonts w:hint="eastAsia" w:ascii="仿宋_GB2312" w:hAnsi="Times New Roman" w:eastAsia="仿宋_GB2312"/>
          <w:color w:val="auto"/>
          <w:sz w:val="32"/>
          <w:szCs w:val="32"/>
        </w:rPr>
        <w:t>强化企业创新主体地位，提升研究开发、技术创新能力。支持引导安钢、安彩、光远新材料、全丰无人机、克能锂电等企业联合上下游企业、高校科研院所，牵头组建创新联合体、行业研究院、共性技术平台。围绕主导产业</w:t>
      </w:r>
      <w:r>
        <w:rPr>
          <w:rFonts w:hint="eastAsia" w:ascii="仿宋_GB2312" w:hAnsi="华文仿宋" w:eastAsia="仿宋_GB2312" w:cs="华文仿宋"/>
          <w:color w:val="auto"/>
          <w:sz w:val="32"/>
          <w:szCs w:val="32"/>
        </w:rPr>
        <w:t>和</w:t>
      </w:r>
      <w:r>
        <w:rPr>
          <w:rFonts w:ascii="仿宋_GB2312" w:hAnsi="华文仿宋" w:eastAsia="仿宋_GB2312" w:cs="华文仿宋"/>
          <w:color w:val="auto"/>
          <w:sz w:val="32"/>
          <w:szCs w:val="32"/>
        </w:rPr>
        <w:t>11</w:t>
      </w:r>
      <w:r>
        <w:rPr>
          <w:rFonts w:hint="eastAsia" w:ascii="仿宋_GB2312" w:hAnsi="华文仿宋" w:eastAsia="仿宋_GB2312" w:cs="华文仿宋"/>
          <w:color w:val="auto"/>
          <w:sz w:val="32"/>
          <w:szCs w:val="32"/>
        </w:rPr>
        <w:t>个</w:t>
      </w:r>
      <w:r>
        <w:rPr>
          <w:rFonts w:hint="eastAsia" w:ascii="仿宋_GB2312" w:hAnsi="Times New Roman" w:eastAsia="仿宋_GB2312"/>
          <w:color w:val="auto"/>
          <w:sz w:val="32"/>
          <w:szCs w:val="32"/>
        </w:rPr>
        <w:t>重点新兴产业链，健全“链长制”，打通研发设计、生产制造、集成服务等产业链条，促进产业链和创新链双向融合。实施一批重大科技专项，面向全国开展“揭榜挂帅”，攻克制约我市产业发展的“卡脖子”技术难题。</w:t>
      </w:r>
      <w:r>
        <w:rPr>
          <w:rFonts w:hint="eastAsia" w:ascii="仿宋_GB2312" w:hAnsi="Times New Roman" w:eastAsia="仿宋_GB2312"/>
          <w:bCs/>
          <w:color w:val="auto"/>
          <w:sz w:val="32"/>
          <w:szCs w:val="32"/>
        </w:rPr>
        <w:t>改进科技项目管理方式，赋予科研人员更大人财物支配权和技术路线决策权。</w:t>
      </w:r>
    </w:p>
    <w:p>
      <w:pPr>
        <w:spacing w:line="580" w:lineRule="exact"/>
        <w:ind w:firstLine="643" w:firstLineChars="200"/>
        <w:rPr>
          <w:rFonts w:ascii="Times New Roman" w:hAnsi="Times New Roman" w:eastAsia="仿宋_GB2312"/>
          <w:color w:val="auto"/>
          <w:sz w:val="32"/>
          <w:szCs w:val="32"/>
        </w:rPr>
      </w:pPr>
      <w:r>
        <w:rPr>
          <w:rFonts w:hint="eastAsia" w:ascii="仿宋_GB2312" w:hAnsi="Times New Roman" w:eastAsia="仿宋_GB2312"/>
          <w:b/>
          <w:bCs/>
          <w:color w:val="auto"/>
          <w:sz w:val="32"/>
          <w:szCs w:val="32"/>
        </w:rPr>
        <w:t>促进科技成果转移转化。</w:t>
      </w:r>
      <w:r>
        <w:rPr>
          <w:rFonts w:hint="eastAsia" w:ascii="仿宋_GB2312" w:hAnsi="Times New Roman" w:eastAsia="仿宋_GB2312"/>
          <w:color w:val="auto"/>
          <w:sz w:val="32"/>
          <w:szCs w:val="32"/>
        </w:rPr>
        <w:t>落实国家、省、市促进科技成果转化相关政策，积极培育我市技术转移示范机构和科技成果转化中试基地等技术转移转化平台，推动大院大所在我市设立分支机构和科技成果转化基地，做大做强安阳技术交易市场。提升市知识产权公共服务平台综合服务能力，大力发展知识产权代理、法律、信息、咨询、培训等服务，完善知识产权质押融资等扶持政策，加大对科技成果中试熟化环节的支持力度，促进知识产权成果转移、转化。开展赋予职务科技成果所有权或长期使用权试点。</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6" w:type="dxa"/>
          </w:tcPr>
          <w:p>
            <w:pPr>
              <w:spacing w:line="520" w:lineRule="exact"/>
              <w:jc w:val="center"/>
              <w:rPr>
                <w:rFonts w:ascii="黑体" w:hAnsi="黑体" w:eastAsia="黑体"/>
                <w:color w:val="auto"/>
                <w:kern w:val="0"/>
                <w:sz w:val="24"/>
                <w:szCs w:val="24"/>
              </w:rPr>
            </w:pPr>
            <w:bookmarkStart w:id="28" w:name="_Hlk73714976"/>
            <w:r>
              <w:rPr>
                <w:rFonts w:hint="eastAsia" w:ascii="黑体" w:hAnsi="黑体" w:eastAsia="黑体"/>
                <w:color w:val="auto"/>
                <w:kern w:val="0"/>
                <w:sz w:val="24"/>
                <w:szCs w:val="24"/>
              </w:rPr>
              <w:t>专栏</w:t>
            </w:r>
            <w:r>
              <w:rPr>
                <w:rFonts w:ascii="黑体" w:hAnsi="黑体" w:eastAsia="黑体"/>
                <w:color w:val="auto"/>
                <w:kern w:val="0"/>
                <w:sz w:val="24"/>
                <w:szCs w:val="24"/>
              </w:rPr>
              <w:t xml:space="preserve">3.7  </w:t>
            </w:r>
            <w:r>
              <w:rPr>
                <w:rFonts w:hint="eastAsia" w:ascii="黑体" w:hAnsi="黑体" w:eastAsia="黑体"/>
                <w:color w:val="auto"/>
                <w:kern w:val="0"/>
                <w:sz w:val="24"/>
                <w:szCs w:val="24"/>
              </w:rPr>
              <w:t>科技服务发展支撑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5" w:hRule="atLeast"/>
          <w:jc w:val="center"/>
        </w:trPr>
        <w:tc>
          <w:tcPr>
            <w:tcW w:w="8826" w:type="dxa"/>
            <w:vAlign w:val="center"/>
          </w:tcPr>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搭建创新服务平台。</w:t>
            </w:r>
            <w:r>
              <w:rPr>
                <w:rFonts w:hint="eastAsia" w:ascii="宋体" w:hAnsi="宋体" w:cs="宋体"/>
                <w:color w:val="auto"/>
                <w:kern w:val="0"/>
                <w:sz w:val="24"/>
                <w:szCs w:val="24"/>
              </w:rPr>
              <w:t>聚焦科技创新服务，建设综合性科技创新公共服务平台，提供科技项目论证、企业研发费用归集指导、高新技术培育、技术交易登记、科技成果鉴定、科技政策实施评价、科技成果转移转化等科技服务。</w:t>
            </w:r>
          </w:p>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建设创业孵化服务载体。</w:t>
            </w:r>
            <w:r>
              <w:rPr>
                <w:rFonts w:hint="eastAsia" w:ascii="宋体" w:hAnsi="宋体" w:cs="宋体"/>
                <w:color w:val="auto"/>
                <w:kern w:val="0"/>
                <w:sz w:val="24"/>
                <w:szCs w:val="24"/>
              </w:rPr>
              <w:t>巩固扩容众创空间、科技企业孵化器、星创天地等平台，推动各类创新创业平台、孵化器专业化、高端化发展，提升孵化项目科技含量。加快建成安阳大学科技园，进一步提升火炬研发园、火炬创业园、林州市国家</w:t>
            </w:r>
            <w:r>
              <w:rPr>
                <w:rFonts w:ascii="宋体" w:hAnsi="宋体" w:cs="华文仿宋"/>
                <w:color w:val="auto"/>
                <w:kern w:val="0"/>
                <w:sz w:val="24"/>
                <w:szCs w:val="24"/>
              </w:rPr>
              <w:t>863</w:t>
            </w:r>
            <w:r>
              <w:rPr>
                <w:rFonts w:hint="eastAsia" w:ascii="宋体" w:hAnsi="宋体" w:cs="宋体"/>
                <w:color w:val="auto"/>
                <w:kern w:val="0"/>
                <w:sz w:val="24"/>
                <w:szCs w:val="24"/>
              </w:rPr>
              <w:t>红旗渠科技产业园、中部易商谷产业园等园区科技服务功能，推动创新资源和创业要素集聚发展。</w:t>
            </w:r>
          </w:p>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发展检验检测服务。</w:t>
            </w:r>
            <w:r>
              <w:rPr>
                <w:rFonts w:hint="eastAsia" w:ascii="宋体" w:hAnsi="宋体" w:cs="宋体"/>
                <w:color w:val="auto"/>
                <w:kern w:val="0"/>
                <w:sz w:val="24"/>
                <w:szCs w:val="24"/>
              </w:rPr>
              <w:t>积极创建国家级医疗康复产品检验检测中心、国家级无人机检验检测中心，依托高新区积极争创国家检验检测认证公共服务平台示范区。</w:t>
            </w:r>
          </w:p>
        </w:tc>
      </w:tr>
      <w:bookmarkEnd w:id="28"/>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、信息服务</w:t>
      </w:r>
    </w:p>
    <w:p>
      <w:pPr>
        <w:spacing w:line="580" w:lineRule="exact"/>
        <w:ind w:firstLine="640" w:firstLineChars="200"/>
        <w:rPr>
          <w:rFonts w:ascii="仿宋_GB2312" w:hAnsi="Times New Roman" w:eastAsia="仿宋_GB2312"/>
          <w:bCs/>
          <w:color w:val="auto"/>
          <w:sz w:val="32"/>
          <w:szCs w:val="32"/>
        </w:rPr>
      </w:pPr>
      <w:r>
        <w:rPr>
          <w:rFonts w:hint="eastAsia" w:ascii="仿宋_GB2312" w:hAnsi="Times New Roman" w:eastAsia="仿宋_GB2312"/>
          <w:bCs/>
          <w:color w:val="auto"/>
          <w:sz w:val="32"/>
          <w:szCs w:val="32"/>
        </w:rPr>
        <w:t>以打造“智慧安阳”为引领，持续加强信息传输能力建设，加快发展以云计算、物联网、大数据为代表的信息服务业，助推安阳产业信息化和城市智慧化发展。到</w:t>
      </w:r>
      <w:r>
        <w:rPr>
          <w:rFonts w:ascii="仿宋_GB2312" w:hAnsi="华文仿宋" w:eastAsia="仿宋_GB2312" w:cs="华文仿宋"/>
          <w:bCs/>
          <w:color w:val="auto"/>
          <w:sz w:val="32"/>
          <w:szCs w:val="32"/>
        </w:rPr>
        <w:t>2025</w:t>
      </w:r>
      <w:r>
        <w:rPr>
          <w:rFonts w:hint="eastAsia" w:ascii="仿宋_GB2312" w:hAnsi="Times New Roman" w:eastAsia="仿宋_GB2312"/>
          <w:bCs/>
          <w:color w:val="auto"/>
          <w:sz w:val="32"/>
          <w:szCs w:val="32"/>
        </w:rPr>
        <w:t>年，预计信息传输、软件和信息技术服务业增加</w:t>
      </w:r>
      <w:r>
        <w:rPr>
          <w:rFonts w:hint="eastAsia" w:ascii="仿宋_GB2312" w:hAnsi="华文仿宋" w:eastAsia="仿宋_GB2312" w:cs="华文仿宋"/>
          <w:bCs/>
          <w:color w:val="auto"/>
          <w:sz w:val="32"/>
          <w:szCs w:val="32"/>
        </w:rPr>
        <w:t>值达到</w:t>
      </w:r>
      <w:r>
        <w:rPr>
          <w:rFonts w:ascii="仿宋_GB2312" w:hAnsi="华文仿宋" w:eastAsia="仿宋_GB2312" w:cs="华文仿宋"/>
          <w:bCs/>
          <w:color w:val="auto"/>
          <w:sz w:val="32"/>
          <w:szCs w:val="32"/>
        </w:rPr>
        <w:t>100</w:t>
      </w:r>
      <w:r>
        <w:rPr>
          <w:rFonts w:hint="eastAsia" w:ascii="仿宋_GB2312" w:hAnsi="华文仿宋" w:eastAsia="仿宋_GB2312" w:cs="华文仿宋"/>
          <w:bCs/>
          <w:color w:val="auto"/>
          <w:sz w:val="32"/>
          <w:szCs w:val="32"/>
        </w:rPr>
        <w:t>亿元</w:t>
      </w:r>
      <w:r>
        <w:rPr>
          <w:rFonts w:hint="eastAsia" w:ascii="仿宋_GB2312" w:hAnsi="Times New Roman" w:eastAsia="仿宋_GB2312"/>
          <w:bCs/>
          <w:color w:val="auto"/>
          <w:sz w:val="32"/>
          <w:szCs w:val="32"/>
        </w:rPr>
        <w:t>。</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bCs/>
          <w:color w:val="auto"/>
          <w:sz w:val="32"/>
          <w:szCs w:val="32"/>
        </w:rPr>
        <w:t>加快信息服务基础升级。</w:t>
      </w:r>
      <w:r>
        <w:rPr>
          <w:rFonts w:hint="eastAsia" w:ascii="仿宋_GB2312" w:hAnsi="华文仿宋" w:eastAsia="仿宋_GB2312" w:cs="华文仿宋"/>
          <w:color w:val="auto"/>
          <w:sz w:val="32"/>
          <w:szCs w:val="32"/>
        </w:rPr>
        <w:t>加快布局重大信息网络基础设施和新型数字基础设施，高水平推进</w:t>
      </w:r>
      <w:r>
        <w:rPr>
          <w:rFonts w:ascii="仿宋_GB2312" w:hAnsi="华文仿宋" w:eastAsia="仿宋_GB2312" w:cs="华文仿宋"/>
          <w:color w:val="auto"/>
          <w:sz w:val="32"/>
          <w:szCs w:val="32"/>
        </w:rPr>
        <w:t>5G</w:t>
      </w:r>
      <w:r>
        <w:rPr>
          <w:rFonts w:hint="eastAsia" w:ascii="仿宋_GB2312" w:hAnsi="华文仿宋" w:eastAsia="仿宋_GB2312" w:cs="华文仿宋"/>
          <w:color w:val="auto"/>
          <w:sz w:val="32"/>
          <w:szCs w:val="32"/>
        </w:rPr>
        <w:t>、人工智能、工业互联网、大数据中心、物联网等新一代网络基础设施建设。提高新一代信息技术在生产制造、经营、消费等各场景的融合应用能力，使新技术全面融入城市生产生活。以服务安阳为重点，加快建设辐射豫北区域的大数据云计算应用中心</w:t>
      </w:r>
      <w:r>
        <w:rPr>
          <w:rFonts w:hint="eastAsia" w:ascii="仿宋_GB2312" w:hAnsi="华文仿宋" w:eastAsia="仿宋_GB2312" w:cs="华文仿宋"/>
          <w:bCs/>
          <w:color w:val="auto"/>
          <w:sz w:val="32"/>
          <w:szCs w:val="32"/>
        </w:rPr>
        <w:t>，深化大数据在各行各业的创新应用</w:t>
      </w:r>
      <w:r>
        <w:rPr>
          <w:rFonts w:hint="eastAsia" w:ascii="仿宋_GB2312" w:hAnsi="华文仿宋" w:eastAsia="仿宋_GB2312" w:cs="华文仿宋"/>
          <w:color w:val="auto"/>
          <w:sz w:val="32"/>
          <w:szCs w:val="32"/>
        </w:rPr>
        <w:t>。推进农村家庭百兆光纤和乡镇以上区域</w:t>
      </w:r>
      <w:r>
        <w:rPr>
          <w:rFonts w:ascii="仿宋_GB2312" w:hAnsi="华文仿宋" w:eastAsia="仿宋_GB2312" w:cs="华文仿宋"/>
          <w:color w:val="auto"/>
          <w:sz w:val="32"/>
          <w:szCs w:val="32"/>
        </w:rPr>
        <w:t>5G</w:t>
      </w:r>
      <w:r>
        <w:rPr>
          <w:rFonts w:hint="eastAsia" w:ascii="仿宋_GB2312" w:hAnsi="华文仿宋" w:eastAsia="仿宋_GB2312" w:cs="华文仿宋"/>
          <w:color w:val="auto"/>
          <w:sz w:val="32"/>
          <w:szCs w:val="32"/>
        </w:rPr>
        <w:t>网络全覆盖，降低农村信息网络使用成本。</w:t>
      </w:r>
    </w:p>
    <w:p>
      <w:pPr>
        <w:spacing w:line="580" w:lineRule="exact"/>
        <w:ind w:firstLine="643" w:firstLineChars="200"/>
        <w:rPr>
          <w:rFonts w:hint="eastAsia" w:ascii="仿宋_GB2312" w:hAnsi="方正仿宋_GBK" w:eastAsia="仿宋_GB2312" w:cs="方正仿宋_GBK"/>
          <w:color w:val="auto"/>
          <w:sz w:val="32"/>
          <w:szCs w:val="32"/>
        </w:rPr>
      </w:pPr>
      <w:r>
        <w:rPr>
          <w:rFonts w:hint="eastAsia" w:ascii="仿宋_GB2312" w:hAnsi="Times New Roman" w:eastAsia="仿宋_GB2312"/>
          <w:b/>
          <w:bCs/>
          <w:color w:val="auto"/>
          <w:sz w:val="32"/>
          <w:szCs w:val="32"/>
        </w:rPr>
        <w:t>大力发展信息技术服务。</w:t>
      </w:r>
      <w:r>
        <w:rPr>
          <w:rFonts w:hint="eastAsia" w:ascii="仿宋_GB2312" w:hAnsi="方正仿宋_GBK" w:eastAsia="仿宋_GB2312" w:cs="方正仿宋_GBK"/>
          <w:bCs/>
          <w:color w:val="auto"/>
          <w:sz w:val="32"/>
          <w:szCs w:val="32"/>
        </w:rPr>
        <w:t>加快培育基于移动互联网、大数据、云计算、物联网等新技术的信息服务，着力推动信息技术与现代服务业的深度融合。大力发展制造服务业，引导企业建立监测系统、应答中心、追溯体系等方式，提供远程运维、状态预警、故障诊断等在线服务。深化信息技术在物流、教育培训、文化旅游、人力资源、养老、家政等领域的创新引用，</w:t>
      </w:r>
      <w:r>
        <w:rPr>
          <w:rFonts w:hint="eastAsia" w:ascii="仿宋_GB2312" w:hAnsi="方正仿宋_GBK" w:eastAsia="仿宋_GB2312" w:cs="方正仿宋_GBK"/>
          <w:bCs/>
          <w:color w:val="auto"/>
          <w:sz w:val="32"/>
          <w:szCs w:val="32"/>
          <w:lang w:val="en-US" w:eastAsia="zh-CN"/>
        </w:rPr>
        <w:t>谋划一批数字服务应用场景，</w:t>
      </w:r>
      <w:r>
        <w:rPr>
          <w:rFonts w:hint="eastAsia" w:ascii="仿宋_GB2312" w:hAnsi="方正仿宋_GBK" w:eastAsia="仿宋_GB2312" w:cs="方正仿宋_GBK"/>
          <w:bCs/>
          <w:color w:val="auto"/>
          <w:sz w:val="32"/>
          <w:szCs w:val="32"/>
        </w:rPr>
        <w:t>打造一批智慧服务平台，</w:t>
      </w:r>
      <w:r>
        <w:rPr>
          <w:rFonts w:hint="eastAsia" w:ascii="仿宋_GB2312" w:hAnsi="方正仿宋_GBK" w:eastAsia="仿宋_GB2312" w:cs="方正仿宋_GBK"/>
          <w:color w:val="auto"/>
          <w:sz w:val="32"/>
          <w:szCs w:val="32"/>
        </w:rPr>
        <w:t>促进传统产业升级、新兴业态培育及商业模式创新。</w:t>
      </w:r>
    </w:p>
    <w:p>
      <w:pPr>
        <w:spacing w:line="580" w:lineRule="exact"/>
        <w:ind w:firstLine="643" w:firstLineChars="200"/>
        <w:rPr>
          <w:rFonts w:ascii="仿宋_GB2312" w:hAnsi="方正仿宋_GBK" w:eastAsia="仿宋_GB2312" w:cs="方正仿宋_GBK"/>
          <w:color w:val="auto"/>
          <w:sz w:val="32"/>
          <w:szCs w:val="32"/>
        </w:rPr>
      </w:pPr>
      <w:r>
        <w:rPr>
          <w:rFonts w:hint="eastAsia" w:ascii="仿宋_GB2312" w:hAnsi="Times New Roman" w:eastAsia="仿宋_GB2312"/>
          <w:b/>
          <w:bCs/>
          <w:color w:val="auto"/>
          <w:sz w:val="32"/>
          <w:szCs w:val="32"/>
        </w:rPr>
        <w:t>着力提高软件开发和应用能力。</w:t>
      </w:r>
      <w:r>
        <w:rPr>
          <w:rFonts w:hint="eastAsia" w:ascii="仿宋_GB2312" w:hAnsi="方正仿宋_GBK" w:eastAsia="仿宋_GB2312" w:cs="方正仿宋_GBK"/>
          <w:color w:val="auto"/>
          <w:sz w:val="32"/>
          <w:szCs w:val="32"/>
        </w:rPr>
        <w:t>积极开发工业应用程序，推进“</w:t>
      </w:r>
      <w:r>
        <w:rPr>
          <w:rFonts w:ascii="仿宋_GB2312" w:hAnsi="方正仿宋_GBK" w:eastAsia="仿宋_GB2312" w:cs="方正仿宋_GBK"/>
          <w:color w:val="auto"/>
          <w:sz w:val="32"/>
          <w:szCs w:val="32"/>
        </w:rPr>
        <w:t>5G+</w:t>
      </w:r>
      <w:r>
        <w:rPr>
          <w:rFonts w:hint="eastAsia" w:ascii="仿宋_GB2312" w:hAnsi="方正仿宋_GBK" w:eastAsia="仿宋_GB2312" w:cs="方正仿宋_GBK"/>
          <w:color w:val="auto"/>
          <w:sz w:val="32"/>
          <w:szCs w:val="32"/>
        </w:rPr>
        <w:t>工业互联网”应用，在钢铁、无人机、装备制造等领域分别建成重点行业互联网平台，打造一批工业互联网标杆工厂、智能型企业样板。面向医疗卫生、教育、文化旅游、物流、金融服务、供应链管理等行业需求，开发优秀软件产品，提供应用解决方案。持续培育林州市国家</w:t>
      </w:r>
      <w:r>
        <w:rPr>
          <w:rFonts w:ascii="仿宋_GB2312" w:hAnsi="方正仿宋_GBK" w:eastAsia="仿宋_GB2312" w:cs="方正仿宋_GBK"/>
          <w:color w:val="auto"/>
          <w:sz w:val="32"/>
          <w:szCs w:val="32"/>
        </w:rPr>
        <w:t>863</w:t>
      </w:r>
      <w:r>
        <w:rPr>
          <w:rFonts w:hint="eastAsia" w:ascii="仿宋_GB2312" w:hAnsi="方正仿宋_GBK" w:eastAsia="仿宋_GB2312" w:cs="方正仿宋_GBK"/>
          <w:color w:val="auto"/>
          <w:sz w:val="32"/>
          <w:szCs w:val="32"/>
        </w:rPr>
        <w:t>红旗渠科技产业园，支持高新区、示范区建设软件产业园，引进一批行业骨干企业，推动软件产业集聚发展，提高自主创新能力。</w:t>
      </w:r>
    </w:p>
    <w:p>
      <w:pPr>
        <w:pStyle w:val="5"/>
        <w:ind w:left="31680"/>
        <w:rPr>
          <w:color w:val="auto"/>
        </w:rPr>
      </w:pPr>
    </w:p>
    <w:p>
      <w:pPr>
        <w:rPr>
          <w:color w:val="auto"/>
        </w:rPr>
      </w:pPr>
    </w:p>
    <w:p>
      <w:pPr>
        <w:pStyle w:val="5"/>
        <w:ind w:left="31680"/>
        <w:rPr>
          <w:color w:val="auto"/>
        </w:rPr>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751" w:type="dxa"/>
            <w:tcBorders>
              <w:top w:val="single" w:color="auto" w:sz="8" w:space="0"/>
            </w:tcBorders>
          </w:tcPr>
          <w:p>
            <w:pPr>
              <w:spacing w:line="520" w:lineRule="exact"/>
              <w:jc w:val="center"/>
              <w:rPr>
                <w:rFonts w:ascii="黑体" w:hAnsi="黑体" w:eastAsia="黑体"/>
                <w:color w:val="auto"/>
                <w:sz w:val="24"/>
                <w:szCs w:val="24"/>
              </w:rPr>
            </w:pPr>
            <w:bookmarkStart w:id="29" w:name="_Hlk73715155"/>
            <w:r>
              <w:rPr>
                <w:rFonts w:hint="eastAsia" w:ascii="黑体" w:hAnsi="黑体" w:eastAsia="黑体"/>
                <w:color w:val="auto"/>
                <w:sz w:val="24"/>
                <w:szCs w:val="24"/>
              </w:rPr>
              <w:t>专栏</w:t>
            </w:r>
            <w:r>
              <w:rPr>
                <w:rFonts w:ascii="黑体" w:hAnsi="黑体" w:eastAsia="黑体"/>
                <w:color w:val="auto"/>
                <w:sz w:val="24"/>
                <w:szCs w:val="24"/>
              </w:rPr>
              <w:t xml:space="preserve">3.8  </w:t>
            </w:r>
            <w:r>
              <w:rPr>
                <w:rFonts w:hint="eastAsia" w:ascii="黑体" w:hAnsi="黑体" w:eastAsia="黑体"/>
                <w:color w:val="auto"/>
                <w:sz w:val="24"/>
                <w:szCs w:val="24"/>
              </w:rPr>
              <w:t>信息服务发展支撑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751" w:type="dxa"/>
            <w:tcBorders>
              <w:bottom w:val="single" w:color="auto" w:sz="8" w:space="0"/>
            </w:tcBorders>
          </w:tcPr>
          <w:p>
            <w:pPr>
              <w:spacing w:line="520" w:lineRule="exact"/>
              <w:ind w:firstLine="482" w:firstLineChars="200"/>
              <w:rPr>
                <w:rFonts w:ascii="宋体"/>
                <w:color w:val="auto"/>
                <w:kern w:val="0"/>
                <w:sz w:val="24"/>
                <w:szCs w:val="24"/>
              </w:rPr>
            </w:pPr>
            <w:r>
              <w:rPr>
                <w:rFonts w:hint="eastAsia" w:ascii="宋体" w:hAnsi="宋体" w:cs="宋体"/>
                <w:b/>
                <w:bCs/>
                <w:color w:val="auto"/>
                <w:sz w:val="24"/>
                <w:szCs w:val="24"/>
              </w:rPr>
              <w:t>实施百项场景示范应用。</w:t>
            </w:r>
            <w:r>
              <w:rPr>
                <w:rFonts w:hint="eastAsia" w:ascii="宋体" w:hAnsi="宋体" w:cs="宋体"/>
                <w:color w:val="auto"/>
                <w:kern w:val="0"/>
                <w:sz w:val="24"/>
                <w:szCs w:val="24"/>
              </w:rPr>
              <w:t>实施</w:t>
            </w:r>
            <w:r>
              <w:rPr>
                <w:rFonts w:ascii="宋体" w:hAnsi="宋体" w:cs="华文仿宋"/>
                <w:color w:val="auto"/>
                <w:kern w:val="0"/>
                <w:sz w:val="24"/>
                <w:szCs w:val="24"/>
              </w:rPr>
              <w:t>5G</w:t>
            </w:r>
            <w:r>
              <w:rPr>
                <w:rFonts w:hint="eastAsia" w:ascii="宋体" w:hAnsi="宋体" w:cs="宋体"/>
                <w:color w:val="auto"/>
                <w:kern w:val="0"/>
                <w:sz w:val="24"/>
                <w:szCs w:val="24"/>
              </w:rPr>
              <w:t>融合应用工程，优先在泛在低空、城市建设、智慧旅游、智慧交通、智慧教育、智慧医疗、现代农业、智能制造、现代服务业、互联网融媒体应用等领域开展</w:t>
            </w:r>
            <w:r>
              <w:rPr>
                <w:rFonts w:ascii="宋体" w:hAnsi="宋体" w:cs="华文仿宋"/>
                <w:color w:val="auto"/>
                <w:kern w:val="0"/>
                <w:sz w:val="24"/>
                <w:szCs w:val="24"/>
              </w:rPr>
              <w:t>5G</w:t>
            </w:r>
            <w:r>
              <w:rPr>
                <w:rFonts w:hint="eastAsia" w:ascii="宋体" w:hAnsi="宋体" w:cs="宋体"/>
                <w:color w:val="auto"/>
                <w:kern w:val="0"/>
                <w:sz w:val="24"/>
                <w:szCs w:val="24"/>
              </w:rPr>
              <w:t>试点示范应用场景，打造</w:t>
            </w:r>
            <w:r>
              <w:rPr>
                <w:rFonts w:ascii="宋体" w:hAnsi="宋体" w:cs="华文仿宋"/>
                <w:color w:val="auto"/>
                <w:kern w:val="0"/>
                <w:sz w:val="24"/>
                <w:szCs w:val="24"/>
              </w:rPr>
              <w:t>100</w:t>
            </w:r>
            <w:r>
              <w:rPr>
                <w:rFonts w:hint="eastAsia" w:ascii="宋体" w:hAnsi="宋体" w:cs="宋体"/>
                <w:color w:val="auto"/>
                <w:kern w:val="0"/>
                <w:sz w:val="24"/>
                <w:szCs w:val="24"/>
              </w:rPr>
              <w:t>个以上</w:t>
            </w:r>
            <w:r>
              <w:rPr>
                <w:rFonts w:ascii="宋体" w:hAnsi="宋体" w:cs="华文仿宋"/>
                <w:color w:val="auto"/>
                <w:kern w:val="0"/>
                <w:sz w:val="24"/>
                <w:szCs w:val="24"/>
              </w:rPr>
              <w:t>5G</w:t>
            </w:r>
            <w:r>
              <w:rPr>
                <w:rFonts w:hint="eastAsia" w:ascii="宋体" w:hAnsi="宋体" w:cs="宋体"/>
                <w:color w:val="auto"/>
                <w:kern w:val="0"/>
                <w:sz w:val="24"/>
                <w:szCs w:val="24"/>
              </w:rPr>
              <w:t>场景应用示范项目。</w:t>
            </w:r>
          </w:p>
          <w:p>
            <w:pPr>
              <w:spacing w:line="520" w:lineRule="exact"/>
              <w:ind w:firstLine="482" w:firstLineChars="200"/>
              <w:rPr>
                <w:rFonts w:ascii="Times New Roman" w:hAnsi="Times New Roman" w:eastAsia="仿宋"/>
                <w:color w:val="auto"/>
                <w:sz w:val="32"/>
                <w:szCs w:val="32"/>
              </w:rPr>
            </w:pPr>
            <w:r>
              <w:rPr>
                <w:rFonts w:hint="eastAsia" w:ascii="宋体" w:hAnsi="宋体" w:cs="宋体"/>
                <w:b/>
                <w:bCs/>
                <w:color w:val="auto"/>
                <w:sz w:val="24"/>
                <w:szCs w:val="24"/>
              </w:rPr>
              <w:t>搭建数字化行业平台。</w:t>
            </w:r>
            <w:r>
              <w:rPr>
                <w:rFonts w:hint="eastAsia" w:ascii="宋体" w:hAnsi="宋体" w:cs="宋体"/>
                <w:bCs/>
                <w:color w:val="auto"/>
                <w:sz w:val="24"/>
                <w:szCs w:val="24"/>
              </w:rPr>
              <w:t>聚焦先进制造、现代物流、医疗健康、</w:t>
            </w:r>
            <w:r>
              <w:rPr>
                <w:rFonts w:hint="eastAsia" w:ascii="宋体" w:hAnsi="宋体" w:cs="宋体"/>
                <w:bCs/>
                <w:color w:val="auto"/>
                <w:sz w:val="24"/>
                <w:szCs w:val="24"/>
                <w:lang w:eastAsia="zh-CN"/>
              </w:rPr>
              <w:t>通航服务</w:t>
            </w:r>
            <w:bookmarkStart w:id="59" w:name="_GoBack"/>
            <w:bookmarkEnd w:id="59"/>
            <w:r>
              <w:rPr>
                <w:rFonts w:hint="eastAsia" w:ascii="宋体" w:hAnsi="宋体" w:cs="宋体"/>
                <w:bCs/>
                <w:color w:val="auto"/>
                <w:sz w:val="24"/>
                <w:szCs w:val="24"/>
              </w:rPr>
              <w:t>等重点领域，推动行业骨干企业搭建数字化平台，重点培育安钢集团钢铁行业工业互联网平台、全丰航空植保无人机产业资源协同云平台、翔宇医疗康复医疗设备工业互联网平台</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方快锅炉智慧锅炉工业互联网平台</w:t>
            </w:r>
            <w:r>
              <w:rPr>
                <w:rFonts w:hint="eastAsia" w:ascii="宋体" w:hAnsi="宋体" w:cs="宋体"/>
                <w:bCs/>
                <w:color w:val="auto"/>
                <w:sz w:val="24"/>
                <w:szCs w:val="24"/>
              </w:rPr>
              <w:t>，打造国家级行业云平台。</w:t>
            </w:r>
          </w:p>
        </w:tc>
      </w:tr>
      <w:bookmarkEnd w:id="29"/>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、电子商务</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加快培育电子商务载体平台，大力发展跨境电商，深化应用领域，强化配套支撑，建成具有较强竞争力和辐射力的区域电子商务中心。到</w:t>
      </w:r>
      <w:r>
        <w:rPr>
          <w:rFonts w:ascii="仿宋_GB2312" w:hAnsi="方正仿宋_GBK" w:eastAsia="仿宋_GB2312" w:cs="方正仿宋_GBK"/>
          <w:color w:val="auto"/>
          <w:sz w:val="32"/>
          <w:szCs w:val="32"/>
        </w:rPr>
        <w:t>2025</w:t>
      </w:r>
      <w:r>
        <w:rPr>
          <w:rFonts w:hint="eastAsia" w:ascii="仿宋_GB2312" w:hAnsi="方正仿宋_GBK" w:eastAsia="仿宋_GB2312" w:cs="方正仿宋_GBK"/>
          <w:color w:val="auto"/>
          <w:sz w:val="32"/>
          <w:szCs w:val="32"/>
        </w:rPr>
        <w:t>年，预计电子商务交易额达到</w:t>
      </w:r>
      <w:r>
        <w:rPr>
          <w:rFonts w:ascii="仿宋_GB2312" w:hAnsi="方正仿宋_GBK" w:eastAsia="仿宋_GB2312" w:cs="方正仿宋_GBK"/>
          <w:color w:val="auto"/>
          <w:sz w:val="32"/>
          <w:szCs w:val="32"/>
        </w:rPr>
        <w:t>800</w:t>
      </w:r>
      <w:r>
        <w:rPr>
          <w:rFonts w:hint="eastAsia" w:ascii="仿宋_GB2312" w:hAnsi="方正仿宋_GBK" w:eastAsia="仿宋_GB2312" w:cs="方正仿宋_GBK"/>
          <w:color w:val="auto"/>
          <w:sz w:val="32"/>
          <w:szCs w:val="32"/>
        </w:rPr>
        <w:t>亿元。</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bCs/>
          <w:color w:val="auto"/>
          <w:kern w:val="0"/>
          <w:sz w:val="32"/>
          <w:szCs w:val="32"/>
        </w:rPr>
        <w:t>大力培育电子商务平台。</w:t>
      </w:r>
      <w:r>
        <w:rPr>
          <w:rFonts w:hint="eastAsia" w:ascii="仿宋_GB2312" w:hAnsi="华文仿宋" w:eastAsia="仿宋_GB2312" w:cs="华文仿宋"/>
          <w:color w:val="auto"/>
          <w:kern w:val="0"/>
          <w:sz w:val="32"/>
          <w:szCs w:val="32"/>
        </w:rPr>
        <w:t>鼓励我市钢铁、装备制造、纺织服装等优势产业领域，自建专业性销售平台，加强与知名电商平台对接合作，培育一批集信息展示、交易结算、贸易融资等功能于一体的行业电商平台。巩固升级电商大厦、跨境电商产业园、中部易商谷等电商载体，壮大“铁合金现货网”“扁担百百网”“出口易”“中原钢材现货网”等电商平台，促进大宗商品电商平台提质发展</w:t>
      </w:r>
      <w:r>
        <w:rPr>
          <w:rFonts w:hint="eastAsia" w:ascii="仿宋_GB2312" w:hAnsi="华文仿宋" w:eastAsia="仿宋_GB2312" w:cs="华文仿宋"/>
          <w:color w:val="auto"/>
          <w:sz w:val="32"/>
          <w:szCs w:val="32"/>
        </w:rPr>
        <w:t>。</w:t>
      </w:r>
      <w:r>
        <w:rPr>
          <w:rFonts w:hint="eastAsia" w:ascii="仿宋_GB2312" w:hAnsi="华文仿宋" w:eastAsia="仿宋_GB2312" w:cs="华文仿宋"/>
          <w:color w:val="auto"/>
          <w:kern w:val="0"/>
          <w:sz w:val="32"/>
          <w:szCs w:val="32"/>
        </w:rPr>
        <w:t>聚焦特色产业、县域经济等方向，积极打造县域电商服务中心，</w:t>
      </w:r>
      <w:r>
        <w:rPr>
          <w:rFonts w:hint="eastAsia" w:ascii="仿宋_GB2312" w:hAnsi="华文仿宋" w:eastAsia="仿宋_GB2312" w:cs="华文仿宋"/>
          <w:color w:val="auto"/>
          <w:sz w:val="32"/>
          <w:szCs w:val="32"/>
        </w:rPr>
        <w:t>鼓励引导村民、返乡创业青年、种植大户等开办网店，拓宽农特产品销售渠道，</w:t>
      </w:r>
      <w:r>
        <w:rPr>
          <w:rFonts w:hint="eastAsia" w:ascii="仿宋_GB2312" w:hAnsi="华文仿宋" w:eastAsia="仿宋_GB2312" w:cs="华文仿宋"/>
          <w:color w:val="auto"/>
          <w:kern w:val="0"/>
          <w:sz w:val="32"/>
          <w:szCs w:val="32"/>
        </w:rPr>
        <w:t>推进农产品出村进城。</w:t>
      </w:r>
    </w:p>
    <w:p>
      <w:pPr>
        <w:shd w:val="clear" w:color="auto" w:fill="FFFFFF"/>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color w:val="auto"/>
          <w:sz w:val="32"/>
          <w:szCs w:val="32"/>
        </w:rPr>
        <w:t>支持发展跨境电子商务。</w:t>
      </w:r>
      <w:r>
        <w:rPr>
          <w:rFonts w:hint="eastAsia" w:ascii="仿宋_GB2312" w:hAnsi="Times New Roman" w:eastAsia="仿宋_GB2312"/>
          <w:bCs/>
          <w:color w:val="auto"/>
          <w:sz w:val="32"/>
          <w:szCs w:val="32"/>
        </w:rPr>
        <w:t>积极对接中国（郑州）跨境电商综合试验区，建设区域跨境电商集散中心</w:t>
      </w:r>
      <w:r>
        <w:rPr>
          <w:rFonts w:hint="eastAsia" w:ascii="仿宋_GB2312" w:hAnsi="Times New Roman" w:eastAsia="仿宋_GB2312"/>
          <w:color w:val="auto"/>
          <w:sz w:val="32"/>
          <w:szCs w:val="32"/>
        </w:rPr>
        <w:t>。结合安阳保税物流中心申报建设，加快申建农产品、服装国家级外贸转型基地和内黄国家级跨境电子商务示范园区。支持有实力的跨境电商企业通过自建、租用、合作等方式，积极建</w:t>
      </w:r>
      <w:r>
        <w:rPr>
          <w:rFonts w:hint="eastAsia" w:ascii="仿宋_GB2312" w:hAnsi="华文仿宋" w:eastAsia="仿宋_GB2312" w:cs="华文仿宋"/>
          <w:color w:val="auto"/>
          <w:sz w:val="32"/>
          <w:szCs w:val="32"/>
        </w:rPr>
        <w:t>设“海外仓”、</w:t>
      </w:r>
      <w:r>
        <w:rPr>
          <w:rFonts w:hint="eastAsia" w:ascii="仿宋_GB2312" w:hAnsi="Times New Roman" w:eastAsia="仿宋_GB2312"/>
          <w:color w:val="auto"/>
          <w:sz w:val="32"/>
          <w:szCs w:val="32"/>
        </w:rPr>
        <w:t>海外运营中心和展览展示中心。推动跨境电商与外贸产业深度融合，积极引入</w:t>
      </w:r>
      <w:r>
        <w:rPr>
          <w:rFonts w:hint="eastAsia" w:ascii="仿宋_GB2312" w:eastAsia="仿宋_GB2312"/>
          <w:color w:val="auto"/>
          <w:sz w:val="32"/>
          <w:szCs w:val="32"/>
        </w:rPr>
        <w:t>阿里巴巴速卖通等知名跨境电商平台，拓宽我市外贸企业出口渠道，</w:t>
      </w:r>
      <w:r>
        <w:rPr>
          <w:rFonts w:hint="eastAsia" w:ascii="仿宋_GB2312" w:hAnsi="Times New Roman" w:eastAsia="仿宋_GB2312"/>
          <w:color w:val="auto"/>
          <w:sz w:val="32"/>
          <w:szCs w:val="32"/>
        </w:rPr>
        <w:t>促进特色产品跨境交易持续增长，做大跨境电商业务规模。</w:t>
      </w:r>
    </w:p>
    <w:p>
      <w:pPr>
        <w:spacing w:line="580" w:lineRule="exact"/>
        <w:ind w:firstLine="643" w:firstLineChars="200"/>
        <w:rPr>
          <w:rFonts w:ascii="仿宋_GB2312" w:hAnsi="华文仿宋" w:eastAsia="仿宋_GB2312" w:cs="华文仿宋"/>
          <w:color w:val="auto"/>
          <w:kern w:val="0"/>
          <w:sz w:val="32"/>
          <w:szCs w:val="32"/>
        </w:rPr>
      </w:pPr>
      <w:r>
        <w:rPr>
          <w:rFonts w:hint="eastAsia" w:ascii="仿宋_GB2312" w:hAnsi="Times New Roman" w:eastAsia="仿宋_GB2312"/>
          <w:b/>
          <w:color w:val="auto"/>
          <w:sz w:val="32"/>
          <w:szCs w:val="32"/>
        </w:rPr>
        <w:t>深化电子商务创新应用。</w:t>
      </w:r>
      <w:r>
        <w:rPr>
          <w:rFonts w:hint="eastAsia" w:ascii="仿宋_GB2312" w:hAnsi="华文仿宋" w:eastAsia="仿宋_GB2312" w:cs="华文仿宋"/>
          <w:color w:val="auto"/>
          <w:sz w:val="32"/>
          <w:szCs w:val="32"/>
        </w:rPr>
        <w:t>加快安阳制造“电商</w:t>
      </w:r>
      <w:r>
        <w:rPr>
          <w:rFonts w:ascii="仿宋_GB2312" w:hAnsi="华文仿宋" w:eastAsia="仿宋_GB2312" w:cs="华文仿宋"/>
          <w:color w:val="auto"/>
          <w:sz w:val="32"/>
          <w:szCs w:val="32"/>
        </w:rPr>
        <w:t>+</w:t>
      </w:r>
      <w:r>
        <w:rPr>
          <w:rFonts w:hint="eastAsia" w:ascii="仿宋_GB2312" w:hAnsi="华文仿宋" w:eastAsia="仿宋_GB2312" w:cs="华文仿宋"/>
          <w:color w:val="auto"/>
          <w:sz w:val="32"/>
          <w:szCs w:val="32"/>
        </w:rPr>
        <w:t>”转型，鼓励传统制造业企业借力电子商务实现在采购、加工、设计、制造、销售、融资等各要素环节在线化、网络化和协同化，推动传统制造业向数字化、柔性化、智能化和平台化转型。鼓励专业批发市场、实体商贸零售企业重塑交易方式，开展直播电商、社交电商、社群电商、“小程序”电商等线上线下交易融合新业态，提升流通创新能力，促进产销更好衔接。挖掘农村电商发展潜力，鼓励安阳特色农产品和加工食品上线众多线上主流平台，</w:t>
      </w:r>
      <w:r>
        <w:rPr>
          <w:rFonts w:hint="eastAsia" w:ascii="仿宋_GB2312" w:hAnsi="华文仿宋" w:eastAsia="仿宋_GB2312" w:cs="华文仿宋"/>
          <w:color w:val="auto"/>
          <w:kern w:val="0"/>
          <w:sz w:val="32"/>
          <w:szCs w:val="32"/>
        </w:rPr>
        <w:t>支持内黄、汤阴申建国家级电子商务进农村综合示范县，打造“一县一区”电商品牌。</w:t>
      </w:r>
    </w:p>
    <w:tbl>
      <w:tblPr>
        <w:tblStyle w:val="16"/>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751" w:type="dxa"/>
          </w:tcPr>
          <w:p>
            <w:pPr>
              <w:spacing w:line="520" w:lineRule="exact"/>
              <w:jc w:val="center"/>
              <w:rPr>
                <w:rFonts w:ascii="黑体" w:hAnsi="黑体" w:eastAsia="黑体"/>
                <w:color w:val="auto"/>
                <w:kern w:val="0"/>
                <w:sz w:val="32"/>
                <w:szCs w:val="32"/>
              </w:rPr>
            </w:pPr>
            <w:bookmarkStart w:id="30" w:name="_Hlk73714657"/>
            <w:r>
              <w:rPr>
                <w:rFonts w:hint="eastAsia" w:ascii="黑体" w:hAnsi="黑体" w:eastAsia="黑体"/>
                <w:color w:val="auto"/>
                <w:kern w:val="0"/>
                <w:sz w:val="24"/>
                <w:szCs w:val="32"/>
              </w:rPr>
              <w:t>专栏</w:t>
            </w:r>
            <w:r>
              <w:rPr>
                <w:rFonts w:ascii="黑体" w:hAnsi="黑体" w:eastAsia="黑体"/>
                <w:color w:val="auto"/>
                <w:kern w:val="0"/>
                <w:sz w:val="24"/>
                <w:szCs w:val="32"/>
              </w:rPr>
              <w:t xml:space="preserve">3.9  </w:t>
            </w:r>
            <w:r>
              <w:rPr>
                <w:rFonts w:hint="eastAsia" w:ascii="黑体" w:hAnsi="黑体" w:eastAsia="黑体"/>
                <w:color w:val="auto"/>
                <w:kern w:val="0"/>
                <w:sz w:val="24"/>
                <w:szCs w:val="32"/>
              </w:rPr>
              <w:t>电子商务发展支撑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751" w:type="dxa"/>
          </w:tcPr>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重点电商平台。</w:t>
            </w:r>
            <w:r>
              <w:rPr>
                <w:rFonts w:hint="eastAsia" w:ascii="宋体" w:hAnsi="宋体" w:cs="宋体"/>
                <w:color w:val="auto"/>
                <w:kern w:val="0"/>
                <w:sz w:val="24"/>
                <w:szCs w:val="24"/>
              </w:rPr>
              <w:t>安阳电商大厦、豫北跨境电商产业园区、内黄县跨境电商产业园区、文峰区中部易商谷电商产业园、北关区母婴电商产业园、安浙百亿级童装产业园、汤阴县电子商务公共服务中心、内黄县农村电商服务平台、滑县百亿级齿科产业园。</w:t>
            </w:r>
          </w:p>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发展直播电商。</w:t>
            </w:r>
            <w:r>
              <w:rPr>
                <w:rFonts w:hint="eastAsia" w:ascii="宋体" w:hAnsi="宋体" w:cs="宋体"/>
                <w:color w:val="auto"/>
                <w:kern w:val="0"/>
                <w:sz w:val="24"/>
                <w:szCs w:val="24"/>
              </w:rPr>
              <w:t>培育一批直播平台公司、直播孵化公司和主播达人，围绕装备制造、纺织服装、齿科材料、特色农产品以及文化旅游、人才服务等领域，大力发展</w:t>
            </w:r>
            <w:r>
              <w:rPr>
                <w:rFonts w:hint="eastAsia" w:ascii="宋体" w:hAnsi="宋体" w:cs="华文仿宋"/>
                <w:color w:val="auto"/>
                <w:kern w:val="0"/>
                <w:sz w:val="24"/>
                <w:szCs w:val="24"/>
              </w:rPr>
              <w:t>“</w:t>
            </w:r>
            <w:r>
              <w:rPr>
                <w:rFonts w:hint="eastAsia" w:ascii="宋体" w:hAnsi="宋体" w:cs="宋体"/>
                <w:color w:val="auto"/>
                <w:kern w:val="0"/>
                <w:sz w:val="24"/>
                <w:szCs w:val="24"/>
              </w:rPr>
              <w:t>直播带货</w:t>
            </w:r>
            <w:r>
              <w:rPr>
                <w:rFonts w:hint="eastAsia" w:ascii="宋体" w:hAnsi="宋体" w:cs="华文仿宋"/>
                <w:color w:val="auto"/>
                <w:kern w:val="0"/>
                <w:sz w:val="24"/>
                <w:szCs w:val="24"/>
              </w:rPr>
              <w:t>”“</w:t>
            </w:r>
            <w:r>
              <w:rPr>
                <w:rFonts w:hint="eastAsia" w:ascii="宋体" w:hAnsi="宋体" w:cs="宋体"/>
                <w:color w:val="auto"/>
                <w:kern w:val="0"/>
                <w:sz w:val="24"/>
                <w:szCs w:val="24"/>
              </w:rPr>
              <w:t>直播</w:t>
            </w:r>
            <w:r>
              <w:rPr>
                <w:rFonts w:ascii="宋体" w:hAnsi="宋体" w:cs="华文仿宋"/>
                <w:color w:val="auto"/>
                <w:kern w:val="0"/>
                <w:sz w:val="24"/>
                <w:szCs w:val="24"/>
              </w:rPr>
              <w:t>+</w:t>
            </w:r>
            <w:r>
              <w:rPr>
                <w:rFonts w:hint="eastAsia" w:ascii="宋体" w:hAnsi="宋体" w:cs="宋体"/>
                <w:color w:val="auto"/>
                <w:kern w:val="0"/>
                <w:sz w:val="24"/>
                <w:szCs w:val="24"/>
              </w:rPr>
              <w:t>岗位</w:t>
            </w:r>
            <w:r>
              <w:rPr>
                <w:rFonts w:hint="eastAsia" w:ascii="宋体" w:hAnsi="宋体" w:cs="华文仿宋"/>
                <w:color w:val="auto"/>
                <w:kern w:val="0"/>
                <w:sz w:val="24"/>
                <w:szCs w:val="24"/>
              </w:rPr>
              <w:t>”“</w:t>
            </w:r>
            <w:r>
              <w:rPr>
                <w:rFonts w:hint="eastAsia" w:ascii="宋体" w:hAnsi="宋体" w:cs="宋体"/>
                <w:color w:val="auto"/>
                <w:kern w:val="0"/>
                <w:sz w:val="24"/>
                <w:szCs w:val="24"/>
              </w:rPr>
              <w:t>直播</w:t>
            </w:r>
            <w:r>
              <w:rPr>
                <w:rFonts w:ascii="宋体" w:hAnsi="宋体" w:cs="华文仿宋"/>
                <w:color w:val="auto"/>
                <w:kern w:val="0"/>
                <w:sz w:val="24"/>
                <w:szCs w:val="24"/>
              </w:rPr>
              <w:t>+</w:t>
            </w:r>
            <w:r>
              <w:rPr>
                <w:rFonts w:hint="eastAsia" w:ascii="宋体" w:hAnsi="宋体" w:cs="宋体"/>
                <w:color w:val="auto"/>
                <w:kern w:val="0"/>
                <w:sz w:val="24"/>
                <w:szCs w:val="24"/>
              </w:rPr>
              <w:t>旅游</w:t>
            </w:r>
            <w:r>
              <w:rPr>
                <w:rFonts w:hint="eastAsia" w:ascii="宋体" w:hAnsi="宋体" w:cs="华文仿宋"/>
                <w:color w:val="auto"/>
                <w:kern w:val="0"/>
                <w:sz w:val="24"/>
                <w:szCs w:val="24"/>
              </w:rPr>
              <w:t>”</w:t>
            </w:r>
            <w:r>
              <w:rPr>
                <w:rFonts w:hint="eastAsia" w:ascii="宋体" w:hAnsi="宋体" w:cs="宋体"/>
                <w:color w:val="auto"/>
                <w:kern w:val="0"/>
                <w:sz w:val="24"/>
                <w:szCs w:val="24"/>
              </w:rPr>
              <w:t>等模式，推动线上新型消费发展。通过直播电商，推动安阳优势产品走向国际市场。</w:t>
            </w:r>
          </w:p>
          <w:p>
            <w:pPr>
              <w:spacing w:line="520" w:lineRule="exact"/>
              <w:rPr>
                <w:rFonts w:ascii="黑体" w:hAnsi="黑体" w:eastAsia="黑体"/>
                <w:color w:val="auto"/>
                <w:kern w:val="0"/>
                <w:sz w:val="24"/>
                <w:szCs w:val="32"/>
              </w:rPr>
            </w:pPr>
            <w:r>
              <w:rPr>
                <w:rFonts w:ascii="宋体" w:hAnsi="宋体" w:cs="宋体"/>
                <w:b/>
                <w:bCs/>
                <w:color w:val="auto"/>
                <w:sz w:val="24"/>
                <w:szCs w:val="24"/>
              </w:rPr>
              <w:t xml:space="preserve">    </w:t>
            </w:r>
            <w:r>
              <w:rPr>
                <w:rFonts w:hint="eastAsia" w:ascii="宋体" w:hAnsi="宋体" w:cs="宋体"/>
                <w:b/>
                <w:bCs/>
                <w:color w:val="auto"/>
                <w:sz w:val="24"/>
                <w:szCs w:val="24"/>
              </w:rPr>
              <w:t>建设农村电商服务体系。</w:t>
            </w:r>
            <w:r>
              <w:rPr>
                <w:rFonts w:hint="eastAsia" w:ascii="宋体" w:hAnsi="宋体" w:cs="宋体"/>
                <w:color w:val="auto"/>
                <w:sz w:val="24"/>
                <w:szCs w:val="24"/>
              </w:rPr>
              <w:t>建设县级电子商务公共服务中心和乡（镇）、村级电子商务服务站点，集聚综合管理、产业孵化、电商物流、人才培训、营销策划等多方位功能。加快县域农产品品牌培育、宣传、推广和质量保障服务体系建设，建立网货下乡和农产品进城双向通道。</w:t>
            </w:r>
          </w:p>
        </w:tc>
      </w:tr>
      <w:bookmarkEnd w:id="30"/>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4</w:t>
      </w:r>
      <w:r>
        <w:rPr>
          <w:rFonts w:hint="eastAsia" w:ascii="仿宋_GB2312" w:hAnsi="方正仿宋_GBK" w:eastAsia="仿宋_GB2312" w:cs="方正仿宋_GBK"/>
          <w:color w:val="auto"/>
        </w:rPr>
        <w:t>、商务服务</w:t>
      </w:r>
    </w:p>
    <w:p>
      <w:pPr>
        <w:autoSpaceDE w:val="0"/>
        <w:autoSpaceDN w:val="0"/>
        <w:adjustRightInd w:val="0"/>
        <w:spacing w:line="580" w:lineRule="exact"/>
        <w:ind w:firstLine="627" w:firstLineChars="196"/>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以信息化、专业化为导向，实施品牌和龙头带动战略，加快发展以人力资源、会展服务、知识产权、会计服务、法律服务等为重点的商务服务，推动商务服务专业化、规模化、网络化发展。</w:t>
      </w:r>
    </w:p>
    <w:p>
      <w:pPr>
        <w:pStyle w:val="12"/>
        <w:spacing w:line="580" w:lineRule="exact"/>
        <w:ind w:firstLine="643" w:firstLineChars="200"/>
        <w:rPr>
          <w:rFonts w:ascii="仿宋_GB2312" w:eastAsia="仿宋_GB2312"/>
          <w:color w:val="auto"/>
        </w:rPr>
      </w:pPr>
      <w:r>
        <w:rPr>
          <w:rFonts w:hint="eastAsia" w:ascii="仿宋_GB2312" w:hAnsi="Times New Roman" w:eastAsia="仿宋_GB2312"/>
          <w:b/>
          <w:color w:val="auto"/>
          <w:sz w:val="32"/>
          <w:szCs w:val="32"/>
        </w:rPr>
        <w:t>提升人力资源服务业。</w:t>
      </w:r>
      <w:r>
        <w:rPr>
          <w:rFonts w:hint="eastAsia" w:ascii="仿宋_GB2312" w:hAnsi="Times New Roman" w:eastAsia="仿宋_GB2312"/>
          <w:color w:val="auto"/>
          <w:sz w:val="32"/>
          <w:szCs w:val="32"/>
        </w:rPr>
        <w:t>鼓励和支持人力资源服务机构发展高级人才寻访、人力资源测评、人力资源服务外包、人力资源管理咨询、人力资源信息软件服务、人力资源薪酬绩效管理等新兴业态和新产品。依托安阳国家高新技术产业开发区、红旗渠经济技术产业开发区等载体，积极建设综合性人力资源要素市场、多功能人力资源服务平台，大力发展管理咨询、人才招聘、创业指导等人力资源服务，推动人力资源配置市场化，人力资源服务产业化。支持人力资源服务企业市场化兼并重组，积极引进国内外知名人力资源服务机构，着力打造一批专业化、规模化、品牌化运作的人力资源服务领军企业。</w:t>
      </w:r>
    </w:p>
    <w:p>
      <w:pPr>
        <w:shd w:val="clear" w:color="auto" w:fill="FFFFFF"/>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bCs/>
          <w:color w:val="auto"/>
          <w:sz w:val="32"/>
          <w:szCs w:val="32"/>
        </w:rPr>
        <w:t>积极发展会展服务业。</w:t>
      </w:r>
      <w:r>
        <w:rPr>
          <w:rFonts w:hint="eastAsia" w:ascii="仿宋_GB2312" w:hAnsi="Times New Roman" w:eastAsia="仿宋_GB2312"/>
          <w:color w:val="auto"/>
          <w:sz w:val="32"/>
          <w:szCs w:val="32"/>
        </w:rPr>
        <w:t>在文化旅游、航空运动、康复医疗、特色农产品、装备制造、纺织服装等领域，积极推动一批国内外知名会展、大型会议、高端论坛在安落户，提高安阳会展服务区域影响力。积极打造线上展会新平台，推进展</w:t>
      </w:r>
      <w:r>
        <w:rPr>
          <w:rFonts w:hint="eastAsia" w:ascii="仿宋_GB2312" w:hAnsi="华文仿宋" w:eastAsia="仿宋_GB2312" w:cs="华文仿宋"/>
          <w:color w:val="auto"/>
          <w:sz w:val="32"/>
          <w:szCs w:val="32"/>
        </w:rPr>
        <w:t>会业态创新，举办“云展览”，开展“云对接”“云洽谈”“云签约”，提升展示、宣传、洽谈等效果。围绕会展核心业务，</w:t>
      </w:r>
      <w:r>
        <w:rPr>
          <w:rFonts w:hint="eastAsia" w:ascii="仿宋_GB2312" w:hAnsi="Times New Roman" w:eastAsia="仿宋_GB2312"/>
          <w:color w:val="auto"/>
          <w:sz w:val="32"/>
          <w:szCs w:val="32"/>
        </w:rPr>
        <w:t>大力发展广告、中介、策划咨询、装饰装潢、展会物流等配套服务产业，加快发展酒店、旅游、餐饮、零售、电子商务等关联产业，延伸会展产业链，进一步扩大会展业对经济发展的拉动作用。</w:t>
      </w:r>
    </w:p>
    <w:p>
      <w:pPr>
        <w:pStyle w:val="12"/>
        <w:spacing w:line="580" w:lineRule="exact"/>
        <w:ind w:firstLine="643" w:firstLineChars="200"/>
        <w:jc w:val="both"/>
        <w:rPr>
          <w:rFonts w:ascii="仿宋_GB2312" w:hAnsi="Times New Roman" w:eastAsia="仿宋_GB2312"/>
          <w:color w:val="auto"/>
          <w:kern w:val="2"/>
          <w:sz w:val="32"/>
          <w:szCs w:val="32"/>
        </w:rPr>
      </w:pPr>
      <w:r>
        <w:rPr>
          <w:rFonts w:hint="eastAsia" w:ascii="仿宋_GB2312" w:hAnsi="Times New Roman" w:eastAsia="仿宋_GB2312"/>
          <w:b/>
          <w:color w:val="auto"/>
          <w:sz w:val="32"/>
          <w:szCs w:val="32"/>
        </w:rPr>
        <w:t>拓展其他中介服务业。</w:t>
      </w:r>
      <w:r>
        <w:rPr>
          <w:rFonts w:hint="eastAsia" w:ascii="仿宋_GB2312" w:hAnsi="Times New Roman" w:eastAsia="仿宋_GB2312"/>
          <w:color w:val="auto"/>
          <w:kern w:val="2"/>
          <w:sz w:val="32"/>
          <w:szCs w:val="32"/>
        </w:rPr>
        <w:t>大力发展法律服务、评估检测、会计审计、广告咨询等商务服务</w:t>
      </w:r>
      <w:r>
        <w:rPr>
          <w:rFonts w:hint="eastAsia" w:ascii="仿宋_GB2312" w:hAnsi="Times New Roman" w:eastAsia="仿宋_GB2312"/>
          <w:color w:val="auto"/>
          <w:sz w:val="32"/>
          <w:szCs w:val="32"/>
        </w:rPr>
        <w:t>，</w:t>
      </w:r>
      <w:r>
        <w:rPr>
          <w:rFonts w:hint="eastAsia" w:ascii="仿宋_GB2312" w:hAnsi="Times New Roman" w:eastAsia="仿宋_GB2312"/>
          <w:color w:val="auto"/>
          <w:kern w:val="2"/>
          <w:sz w:val="32"/>
          <w:szCs w:val="32"/>
        </w:rPr>
        <w:t>加快发展战略规划、营销策划、市场调查、管理咨询等咨询服务，着力发展融资、担保、产权交易、技术交易等中介服务，培育发展资产评估、勘察设计、工程咨询等专业咨询服务，</w:t>
      </w:r>
      <w:r>
        <w:rPr>
          <w:rFonts w:hint="eastAsia" w:ascii="仿宋_GB2312" w:hAnsi="Times New Roman" w:eastAsia="仿宋_GB2312"/>
          <w:color w:val="auto"/>
          <w:sz w:val="32"/>
          <w:szCs w:val="32"/>
        </w:rPr>
        <w:t>引进和培育一批具有较高资质的商务服务市场主体，</w:t>
      </w:r>
      <w:r>
        <w:rPr>
          <w:rFonts w:hint="eastAsia" w:ascii="仿宋_GB2312" w:hAnsi="Times New Roman" w:eastAsia="仿宋_GB2312"/>
          <w:color w:val="auto"/>
          <w:kern w:val="2"/>
          <w:sz w:val="32"/>
          <w:szCs w:val="32"/>
        </w:rPr>
        <w:t>推动各类商务服务机构向“专、精、特、新”方向发展，打造服务最优、成本最低的商务服务环境。</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786" w:type="dxa"/>
            <w:tcBorders>
              <w:top w:val="single" w:color="auto" w:sz="8" w:space="0"/>
            </w:tcBorders>
          </w:tcPr>
          <w:p>
            <w:pPr>
              <w:spacing w:line="520" w:lineRule="exact"/>
              <w:jc w:val="center"/>
              <w:rPr>
                <w:rFonts w:ascii="黑体" w:hAnsi="黑体" w:eastAsia="黑体"/>
                <w:color w:val="auto"/>
                <w:sz w:val="24"/>
                <w:szCs w:val="24"/>
              </w:rPr>
            </w:pPr>
            <w:bookmarkStart w:id="31" w:name="_Hlk73715442"/>
            <w:r>
              <w:rPr>
                <w:rFonts w:hint="eastAsia" w:ascii="黑体" w:hAnsi="黑体" w:eastAsia="黑体"/>
                <w:color w:val="auto"/>
                <w:kern w:val="0"/>
                <w:sz w:val="24"/>
                <w:szCs w:val="24"/>
              </w:rPr>
              <w:t>专栏</w:t>
            </w:r>
            <w:r>
              <w:rPr>
                <w:rFonts w:ascii="黑体" w:hAnsi="黑体" w:eastAsia="黑体"/>
                <w:color w:val="auto"/>
                <w:kern w:val="0"/>
                <w:sz w:val="24"/>
                <w:szCs w:val="24"/>
              </w:rPr>
              <w:t xml:space="preserve">3.10  </w:t>
            </w:r>
            <w:r>
              <w:rPr>
                <w:rFonts w:hint="eastAsia" w:ascii="黑体" w:hAnsi="黑体" w:eastAsia="黑体"/>
                <w:color w:val="auto"/>
                <w:kern w:val="0"/>
                <w:sz w:val="24"/>
                <w:szCs w:val="24"/>
              </w:rPr>
              <w:t>商务服务发展支撑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786" w:type="dxa"/>
            <w:tcBorders>
              <w:bottom w:val="single" w:color="auto" w:sz="8" w:space="0"/>
            </w:tcBorders>
          </w:tcPr>
          <w:p>
            <w:pPr>
              <w:spacing w:line="520" w:lineRule="exact"/>
              <w:ind w:firstLine="482" w:firstLineChars="200"/>
              <w:rPr>
                <w:rFonts w:ascii="宋体"/>
                <w:bCs/>
                <w:color w:val="auto"/>
                <w:kern w:val="0"/>
                <w:sz w:val="24"/>
                <w:szCs w:val="24"/>
              </w:rPr>
            </w:pPr>
            <w:r>
              <w:rPr>
                <w:rFonts w:hint="eastAsia" w:ascii="宋体" w:hAnsi="宋体" w:cs="宋体"/>
                <w:b/>
                <w:color w:val="auto"/>
                <w:kern w:val="0"/>
                <w:sz w:val="24"/>
                <w:szCs w:val="24"/>
              </w:rPr>
              <w:t>人力资源服务。</w:t>
            </w:r>
            <w:r>
              <w:rPr>
                <w:rFonts w:hint="eastAsia" w:ascii="宋体" w:hAnsi="宋体" w:cs="宋体"/>
                <w:bCs/>
                <w:color w:val="auto"/>
                <w:kern w:val="0"/>
                <w:sz w:val="24"/>
                <w:szCs w:val="24"/>
              </w:rPr>
              <w:t>打造</w:t>
            </w:r>
            <w:r>
              <w:rPr>
                <w:rFonts w:hint="eastAsia" w:ascii="宋体"/>
                <w:bCs/>
                <w:color w:val="auto"/>
                <w:kern w:val="0"/>
                <w:sz w:val="24"/>
                <w:szCs w:val="24"/>
              </w:rPr>
              <w:t>“</w:t>
            </w:r>
            <w:r>
              <w:rPr>
                <w:rFonts w:hint="eastAsia" w:ascii="宋体" w:hAnsi="宋体" w:cs="宋体"/>
                <w:bCs/>
                <w:color w:val="auto"/>
                <w:kern w:val="0"/>
                <w:sz w:val="24"/>
                <w:szCs w:val="24"/>
              </w:rPr>
              <w:t>洹泉涌流</w:t>
            </w:r>
            <w:r>
              <w:rPr>
                <w:rFonts w:hint="eastAsia" w:ascii="宋体"/>
                <w:bCs/>
                <w:color w:val="auto"/>
                <w:kern w:val="0"/>
                <w:sz w:val="24"/>
                <w:szCs w:val="24"/>
              </w:rPr>
              <w:t>”</w:t>
            </w:r>
            <w:r>
              <w:rPr>
                <w:rFonts w:hint="eastAsia" w:ascii="宋体" w:hAnsi="宋体" w:cs="宋体"/>
                <w:bCs/>
                <w:color w:val="auto"/>
                <w:kern w:val="0"/>
                <w:sz w:val="24"/>
                <w:szCs w:val="24"/>
              </w:rPr>
              <w:t>升级版，持续实施</w:t>
            </w:r>
            <w:r>
              <w:rPr>
                <w:rFonts w:hint="eastAsia" w:ascii="宋体"/>
                <w:bCs/>
                <w:color w:val="auto"/>
                <w:kern w:val="0"/>
                <w:sz w:val="24"/>
                <w:szCs w:val="24"/>
              </w:rPr>
              <w:t>“</w:t>
            </w:r>
            <w:r>
              <w:rPr>
                <w:rFonts w:hint="eastAsia" w:ascii="宋体" w:hAnsi="宋体" w:cs="宋体"/>
                <w:bCs/>
                <w:color w:val="auto"/>
                <w:kern w:val="0"/>
                <w:sz w:val="24"/>
                <w:szCs w:val="24"/>
              </w:rPr>
              <w:t>洹泉涌流</w:t>
            </w:r>
            <w:r>
              <w:rPr>
                <w:rFonts w:hint="eastAsia" w:ascii="宋体"/>
                <w:bCs/>
                <w:color w:val="auto"/>
                <w:kern w:val="0"/>
                <w:sz w:val="24"/>
                <w:szCs w:val="24"/>
              </w:rPr>
              <w:t>·</w:t>
            </w:r>
            <w:r>
              <w:rPr>
                <w:rFonts w:hint="eastAsia" w:ascii="宋体" w:hAnsi="宋体" w:cs="宋体"/>
                <w:bCs/>
                <w:color w:val="auto"/>
                <w:kern w:val="0"/>
                <w:sz w:val="24"/>
                <w:szCs w:val="24"/>
              </w:rPr>
              <w:t>聚才兴安</w:t>
            </w:r>
            <w:r>
              <w:rPr>
                <w:rFonts w:hint="eastAsia" w:ascii="宋体"/>
                <w:bCs/>
                <w:color w:val="auto"/>
                <w:kern w:val="0"/>
                <w:sz w:val="24"/>
                <w:szCs w:val="24"/>
              </w:rPr>
              <w:t>”</w:t>
            </w:r>
            <w:r>
              <w:rPr>
                <w:rFonts w:hint="eastAsia" w:ascii="宋体" w:hAnsi="宋体" w:cs="宋体"/>
                <w:bCs/>
                <w:color w:val="auto"/>
                <w:kern w:val="0"/>
                <w:sz w:val="24"/>
                <w:szCs w:val="24"/>
              </w:rPr>
              <w:t>招才引智活动，完善各项引进人才优惠服务机制，提升企业引才用才环境，吸引更多人才来安就业创业。积极推动人力资源产业园建设。</w:t>
            </w:r>
          </w:p>
          <w:p>
            <w:pPr>
              <w:spacing w:line="520" w:lineRule="exact"/>
              <w:ind w:firstLine="482" w:firstLineChars="200"/>
              <w:rPr>
                <w:rFonts w:ascii="宋体"/>
                <w:bCs/>
                <w:color w:val="auto"/>
                <w:kern w:val="0"/>
                <w:sz w:val="24"/>
                <w:szCs w:val="24"/>
              </w:rPr>
            </w:pPr>
            <w:r>
              <w:rPr>
                <w:rFonts w:hint="eastAsia" w:ascii="宋体" w:hAnsi="宋体" w:cs="宋体"/>
                <w:b/>
                <w:color w:val="auto"/>
                <w:kern w:val="0"/>
                <w:sz w:val="24"/>
                <w:szCs w:val="24"/>
              </w:rPr>
              <w:t>会展服务。</w:t>
            </w:r>
            <w:bookmarkStart w:id="32" w:name="_Hlk77259990"/>
            <w:r>
              <w:rPr>
                <w:rFonts w:hint="eastAsia" w:ascii="宋体" w:hAnsi="宋体" w:cs="宋体"/>
                <w:bCs/>
                <w:color w:val="auto"/>
                <w:kern w:val="0"/>
                <w:sz w:val="24"/>
                <w:szCs w:val="24"/>
              </w:rPr>
              <w:t>持续举办航空运动文化旅游节、中国（安阳）国际汉字大会、海峡两岸周易文化论坛、安阳国际康复设备博览会、内黄果蔬产销大会等会展，</w:t>
            </w:r>
            <w:bookmarkEnd w:id="32"/>
            <w:r>
              <w:rPr>
                <w:rFonts w:hint="eastAsia" w:ascii="宋体" w:hAnsi="宋体" w:cs="宋体"/>
                <w:bCs/>
                <w:color w:val="auto"/>
                <w:kern w:val="0"/>
                <w:sz w:val="24"/>
                <w:szCs w:val="24"/>
              </w:rPr>
              <w:t>积极申办滑翔伞亚州锦标赛、世界锦标赛等国际航空运动赛事，打造一批产品展示、文化旅游推介等方面的展会，支持发展市场竞争力强、带动作用大的线上品牌展会，培育一批会展服务运营主体，有效促进我市会展经济发展。</w:t>
            </w:r>
          </w:p>
          <w:p>
            <w:pPr>
              <w:spacing w:line="520" w:lineRule="exact"/>
              <w:ind w:firstLine="482" w:firstLineChars="200"/>
              <w:rPr>
                <w:rFonts w:ascii="Times New Roman" w:hAnsi="Times New Roman" w:eastAsia="仿宋"/>
                <w:color w:val="auto"/>
                <w:sz w:val="24"/>
                <w:szCs w:val="24"/>
              </w:rPr>
            </w:pPr>
            <w:r>
              <w:rPr>
                <w:rFonts w:hint="eastAsia" w:ascii="宋体" w:hAnsi="宋体" w:cs="宋体"/>
                <w:b/>
                <w:color w:val="auto"/>
                <w:kern w:val="0"/>
                <w:sz w:val="24"/>
                <w:szCs w:val="24"/>
              </w:rPr>
              <w:t>重点商务片区。</w:t>
            </w:r>
            <w:r>
              <w:rPr>
                <w:rFonts w:hint="eastAsia" w:ascii="宋体" w:hAnsi="宋体" w:cs="宋体"/>
                <w:bCs/>
                <w:color w:val="auto"/>
                <w:kern w:val="0"/>
                <w:sz w:val="24"/>
                <w:szCs w:val="24"/>
              </w:rPr>
              <w:t>优化提升市商务中心区、北关区商务中心区服务品质，加快推进宝莲寺高端商务区、高铁经济圈商务区建设，突出专业化、信息化服务功能，着力发展具有强力集聚效应和引领作用的现代服务业。</w:t>
            </w:r>
          </w:p>
        </w:tc>
      </w:tr>
      <w:bookmarkEnd w:id="31"/>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5</w:t>
      </w:r>
      <w:r>
        <w:rPr>
          <w:rFonts w:hint="eastAsia" w:ascii="仿宋_GB2312" w:hAnsi="方正仿宋_GBK" w:eastAsia="仿宋_GB2312" w:cs="方正仿宋_GBK"/>
          <w:color w:val="auto"/>
        </w:rPr>
        <w:t>、通航服务</w:t>
      </w:r>
    </w:p>
    <w:p>
      <w:pPr>
        <w:spacing w:line="58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kern w:val="0"/>
          <w:sz w:val="32"/>
          <w:szCs w:val="32"/>
        </w:rPr>
        <w:t>依托</w:t>
      </w:r>
      <w:r>
        <w:rPr>
          <w:rFonts w:hint="eastAsia" w:ascii="仿宋_GB2312" w:hAnsi="Times New Roman" w:eastAsia="仿宋_GB2312"/>
          <w:color w:val="auto"/>
          <w:sz w:val="32"/>
          <w:szCs w:val="32"/>
        </w:rPr>
        <w:t>我市</w:t>
      </w:r>
      <w:r>
        <w:rPr>
          <w:rFonts w:hint="eastAsia" w:ascii="仿宋_GB2312" w:hAnsi="Times New Roman" w:eastAsia="仿宋_GB2312"/>
          <w:color w:val="auto"/>
          <w:kern w:val="0"/>
          <w:sz w:val="32"/>
          <w:szCs w:val="32"/>
        </w:rPr>
        <w:t>得天独厚的航空资源优势，</w:t>
      </w:r>
      <w:r>
        <w:rPr>
          <w:rFonts w:hint="eastAsia" w:ascii="仿宋_GB2312" w:hAnsi="Times New Roman" w:eastAsia="仿宋_GB2312"/>
          <w:color w:val="auto"/>
          <w:sz w:val="32"/>
          <w:szCs w:val="32"/>
        </w:rPr>
        <w:t>推动通航服务业快速发展，努力建成具有全国示范作用的区域通用航空产业创新发展中心，打响“中国航空运动之都”城市品牌。</w:t>
      </w:r>
      <w:r>
        <w:rPr>
          <w:rFonts w:hint="eastAsia" w:ascii="仿宋_GB2312" w:hAnsi="仿宋_GB2312" w:eastAsia="仿宋_GB2312" w:cs="仿宋_GB2312"/>
          <w:color w:val="auto"/>
          <w:sz w:val="32"/>
          <w:szCs w:val="32"/>
        </w:rPr>
        <w:t>到</w:t>
      </w:r>
      <w:r>
        <w:rPr>
          <w:rFonts w:ascii="仿宋_GB2312" w:hAnsi="仿宋_GB2312" w:eastAsia="仿宋_GB2312" w:cs="仿宋_GB2312"/>
          <w:color w:val="auto"/>
          <w:sz w:val="32"/>
          <w:szCs w:val="32"/>
        </w:rPr>
        <w:t>2025</w:t>
      </w:r>
      <w:r>
        <w:rPr>
          <w:rFonts w:hint="eastAsia" w:ascii="仿宋_GB2312" w:hAnsi="仿宋_GB2312" w:eastAsia="仿宋_GB2312" w:cs="仿宋_GB2312"/>
          <w:color w:val="auto"/>
          <w:sz w:val="32"/>
          <w:szCs w:val="32"/>
        </w:rPr>
        <w:t>年，预计</w:t>
      </w:r>
      <w:r>
        <w:rPr>
          <w:rFonts w:hint="eastAsia" w:ascii="仿宋_GB2312" w:hAnsi="华文仿宋" w:eastAsia="仿宋_GB2312" w:cs="华文仿宋"/>
          <w:color w:val="auto"/>
          <w:sz w:val="32"/>
          <w:szCs w:val="32"/>
        </w:rPr>
        <w:t>航空客货运吞吐量分别达到</w:t>
      </w:r>
      <w:r>
        <w:rPr>
          <w:rFonts w:ascii="仿宋_GB2312" w:hAnsi="仿宋_GB2312" w:eastAsia="仿宋_GB2312" w:cs="仿宋_GB2312"/>
          <w:color w:val="auto"/>
          <w:sz w:val="32"/>
          <w:szCs w:val="32"/>
        </w:rPr>
        <w:t>35</w:t>
      </w:r>
      <w:r>
        <w:rPr>
          <w:rFonts w:hint="eastAsia" w:ascii="仿宋_GB2312" w:hAnsi="仿宋_GB2312" w:eastAsia="仿宋_GB2312" w:cs="仿宋_GB2312"/>
          <w:color w:val="auto"/>
          <w:sz w:val="32"/>
          <w:szCs w:val="32"/>
        </w:rPr>
        <w:t>万人次、</w:t>
      </w:r>
      <w:r>
        <w:rPr>
          <w:rFonts w:ascii="仿宋_GB2312" w:hAnsi="仿宋_GB2312" w:eastAsia="仿宋_GB2312" w:cs="仿宋_GB2312"/>
          <w:color w:val="auto"/>
          <w:sz w:val="32"/>
          <w:szCs w:val="32"/>
        </w:rPr>
        <w:t>1155</w:t>
      </w:r>
      <w:r>
        <w:rPr>
          <w:rFonts w:hint="eastAsia" w:ascii="仿宋_GB2312" w:hAnsi="仿宋_GB2312" w:eastAsia="仿宋_GB2312" w:cs="仿宋_GB2312"/>
          <w:color w:val="auto"/>
          <w:sz w:val="32"/>
          <w:szCs w:val="32"/>
        </w:rPr>
        <w:t>吨</w:t>
      </w:r>
      <w:r>
        <w:rPr>
          <w:rFonts w:hint="eastAsia" w:ascii="仿宋_GB2312" w:hAnsi="Times New Roman" w:eastAsia="仿宋_GB2312"/>
          <w:color w:val="auto"/>
          <w:sz w:val="32"/>
          <w:szCs w:val="32"/>
        </w:rPr>
        <w:t>。</w:t>
      </w:r>
    </w:p>
    <w:p>
      <w:pPr>
        <w:spacing w:line="580" w:lineRule="exact"/>
        <w:ind w:firstLine="643" w:firstLineChars="200"/>
        <w:rPr>
          <w:rFonts w:ascii="仿宋_GB2312" w:hAnsi="Times New Roman" w:eastAsia="仿宋_GB2312"/>
          <w:b/>
          <w:bCs/>
          <w:color w:val="auto"/>
          <w:sz w:val="32"/>
          <w:szCs w:val="32"/>
        </w:rPr>
      </w:pPr>
      <w:r>
        <w:rPr>
          <w:rFonts w:hint="eastAsia" w:ascii="仿宋_GB2312" w:hAnsi="Times New Roman" w:eastAsia="仿宋_GB2312"/>
          <w:b/>
          <w:bCs/>
          <w:color w:val="auto"/>
          <w:sz w:val="32"/>
          <w:szCs w:val="32"/>
        </w:rPr>
        <w:t>完善现代通航服务产业体系。</w:t>
      </w:r>
      <w:r>
        <w:rPr>
          <w:rFonts w:hint="eastAsia" w:ascii="仿宋_GB2312" w:hAnsi="Times New Roman" w:eastAsia="仿宋_GB2312"/>
          <w:color w:val="auto"/>
          <w:sz w:val="32"/>
          <w:szCs w:val="32"/>
        </w:rPr>
        <w:t>全面推进我市通用航空“两区三园”建设，构建集航空运输、综合运营、航空运动、教育培训、展示交易、文化创意、融资租赁和应急救援等于一体的现代通航服务产业体系。积极发展航空物流，</w:t>
      </w:r>
      <w:r>
        <w:rPr>
          <w:rFonts w:hint="eastAsia" w:ascii="仿宋_GB2312" w:hAnsi="仿宋_GB2312" w:eastAsia="仿宋_GB2312" w:cs="仿宋_GB2312"/>
          <w:color w:val="auto"/>
          <w:sz w:val="32"/>
          <w:szCs w:val="32"/>
        </w:rPr>
        <w:t>推动安阳民用机场融入郑州航空港经济综合实验区，建设区域航空货运中转基地。</w:t>
      </w:r>
      <w:r>
        <w:rPr>
          <w:rFonts w:hint="eastAsia" w:ascii="仿宋_GB2312" w:hAnsi="Times New Roman" w:eastAsia="仿宋_GB2312"/>
          <w:color w:val="auto"/>
          <w:sz w:val="32"/>
          <w:szCs w:val="32"/>
        </w:rPr>
        <w:t>引导有资质的企业和社会资本投资经营通航</w:t>
      </w:r>
      <w:r>
        <w:rPr>
          <w:rFonts w:hint="eastAsia" w:ascii="仿宋_GB2312" w:hAnsi="华文仿宋" w:eastAsia="仿宋_GB2312" w:cs="华文仿宋"/>
          <w:color w:val="auto"/>
          <w:sz w:val="32"/>
          <w:szCs w:val="32"/>
        </w:rPr>
        <w:t>飞机</w:t>
      </w:r>
      <w:r>
        <w:rPr>
          <w:rFonts w:ascii="仿宋_GB2312" w:hAnsi="华文仿宋" w:eastAsia="仿宋_GB2312" w:cs="华文仿宋"/>
          <w:color w:val="auto"/>
          <w:sz w:val="32"/>
          <w:szCs w:val="32"/>
        </w:rPr>
        <w:t>4S</w:t>
      </w:r>
      <w:r>
        <w:rPr>
          <w:rFonts w:hint="eastAsia" w:ascii="仿宋_GB2312" w:hAnsi="华文仿宋" w:eastAsia="仿宋_GB2312" w:cs="华文仿宋"/>
          <w:color w:val="auto"/>
          <w:sz w:val="32"/>
          <w:szCs w:val="32"/>
        </w:rPr>
        <w:t>、</w:t>
      </w:r>
      <w:r>
        <w:rPr>
          <w:rFonts w:ascii="仿宋_GB2312" w:hAnsi="华文仿宋" w:eastAsia="仿宋_GB2312" w:cs="华文仿宋"/>
          <w:color w:val="auto"/>
          <w:sz w:val="32"/>
          <w:szCs w:val="32"/>
        </w:rPr>
        <w:t>6S</w:t>
      </w:r>
      <w:r>
        <w:rPr>
          <w:rFonts w:hint="eastAsia" w:ascii="仿宋_GB2312" w:hAnsi="华文仿宋" w:eastAsia="仿宋_GB2312" w:cs="华文仿宋"/>
          <w:color w:val="auto"/>
          <w:sz w:val="32"/>
          <w:szCs w:val="32"/>
        </w:rPr>
        <w:t>店及</w:t>
      </w:r>
      <w:r>
        <w:rPr>
          <w:rFonts w:hint="eastAsia" w:ascii="仿宋_GB2312" w:hAnsi="Times New Roman" w:eastAsia="仿宋_GB2312"/>
          <w:color w:val="auto"/>
          <w:sz w:val="32"/>
          <w:szCs w:val="32"/>
        </w:rPr>
        <w:t>固定运营基地和通用航空维修基地，支持安阳县</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示范区</w:t>
      </w:r>
      <w:r>
        <w:rPr>
          <w:rFonts w:ascii="仿宋_GB2312" w:hAnsi="Times New Roman" w:eastAsia="仿宋_GB2312"/>
          <w:color w:val="auto"/>
          <w:sz w:val="32"/>
          <w:szCs w:val="32"/>
        </w:rPr>
        <w:t>)</w:t>
      </w:r>
      <w:r>
        <w:rPr>
          <w:rFonts w:hint="eastAsia" w:ascii="仿宋_GB2312" w:hAnsi="Times New Roman" w:eastAsia="仿宋_GB2312"/>
          <w:color w:val="auto"/>
          <w:sz w:val="32"/>
          <w:szCs w:val="32"/>
        </w:rPr>
        <w:t>加快建设面向豫北地区的飞行服务站，发展展示、销售、托管、维修、航行情报等专业服务。大力推进无人机驾驶航空试验区建设，全面开展无人机“城市场景”应用工作。依托国内首个</w:t>
      </w:r>
      <w:r>
        <w:rPr>
          <w:rFonts w:ascii="仿宋_GB2312" w:hAnsi="华文仿宋" w:eastAsia="仿宋_GB2312" w:cs="华文仿宋"/>
          <w:color w:val="auto"/>
          <w:sz w:val="32"/>
          <w:szCs w:val="32"/>
        </w:rPr>
        <w:t>5GSA</w:t>
      </w:r>
      <w:r>
        <w:rPr>
          <w:rFonts w:hint="eastAsia" w:ascii="仿宋_GB2312" w:hAnsi="华文仿宋" w:eastAsia="仿宋_GB2312" w:cs="华文仿宋"/>
          <w:color w:val="auto"/>
          <w:sz w:val="32"/>
          <w:szCs w:val="32"/>
        </w:rPr>
        <w:t>对空</w:t>
      </w:r>
      <w:r>
        <w:rPr>
          <w:rFonts w:hint="eastAsia" w:ascii="仿宋_GB2312" w:hAnsi="Times New Roman" w:eastAsia="仿宋_GB2312"/>
          <w:color w:val="auto"/>
          <w:sz w:val="32"/>
          <w:szCs w:val="32"/>
        </w:rPr>
        <w:t>专网，培育壮大无人机运营服务龙头企业，拓展检测测试、农林植保、警用安防、电力巡检、影视拍摄、监测测绘等应用服务。积极推动通航金融、保险与租赁服务，加快建设通航全产业链融资、通航经营安全保险和通航设备设施租赁等服务体系。以轻型运动飞机、航空运动装备交易为重点，打造知名航空运动装备交易中心。</w:t>
      </w:r>
    </w:p>
    <w:p>
      <w:pPr>
        <w:spacing w:line="580" w:lineRule="exact"/>
        <w:ind w:firstLine="643" w:firstLineChars="200"/>
        <w:rPr>
          <w:rFonts w:ascii="仿宋_GB2312" w:hAnsi="Times New Roman" w:eastAsia="仿宋_GB2312"/>
          <w:color w:val="auto"/>
          <w:sz w:val="32"/>
          <w:szCs w:val="32"/>
        </w:rPr>
      </w:pPr>
      <w:r>
        <w:rPr>
          <w:rFonts w:hint="eastAsia" w:ascii="仿宋_GB2312" w:hAnsi="Times New Roman" w:eastAsia="仿宋_GB2312"/>
          <w:b/>
          <w:bCs/>
          <w:color w:val="auto"/>
          <w:sz w:val="32"/>
          <w:szCs w:val="32"/>
        </w:rPr>
        <w:t>建设国家级航空人才培训基地。</w:t>
      </w:r>
      <w:r>
        <w:rPr>
          <w:rFonts w:hint="eastAsia" w:ascii="仿宋_GB2312" w:hAnsi="Times New Roman" w:eastAsia="仿宋_GB2312"/>
          <w:color w:val="auto"/>
          <w:sz w:val="32"/>
          <w:szCs w:val="32"/>
        </w:rPr>
        <w:t>依托安阳航空运动学校、安阳工学院、安阳职业技术学院和安阳学院等高校，开展航空器驾驶操作、机务维修、航务签派、民航运输、航空服务、无人机综合应用等通航实用技术培训，建设全国知名通航人才培训基地、全国青少年航空科普研学基地。以新丝路国际飞行学院、中国滑翔运动学校和安阳航空运动培训基地建设为契机，加强航空运动人才培育的国际、国内交流与合作，积极引进航空专业培训机构，探索联合培养通航技术及管理人才，不断完善航空运动师资队伍。全面加强通航人才引进力度，鼓励通航企业参与专业人才选拔，赋予引进人才相应优惠政策，打造高水平专业技术人才团队。</w:t>
      </w:r>
    </w:p>
    <w:p>
      <w:pPr>
        <w:spacing w:line="580" w:lineRule="exact"/>
        <w:ind w:firstLine="643" w:firstLineChars="200"/>
        <w:rPr>
          <w:rFonts w:ascii="仿宋_GB2312" w:hAnsi="方正仿宋_GBK" w:eastAsia="仿宋_GB2312" w:cs="方正仿宋_GBK"/>
          <w:color w:val="auto"/>
          <w:sz w:val="32"/>
          <w:szCs w:val="32"/>
        </w:rPr>
      </w:pPr>
      <w:r>
        <w:rPr>
          <w:rFonts w:hint="eastAsia" w:ascii="仿宋_GB2312" w:hAnsi="Times New Roman" w:eastAsia="仿宋_GB2312"/>
          <w:b/>
          <w:bCs/>
          <w:color w:val="auto"/>
          <w:sz w:val="32"/>
          <w:szCs w:val="32"/>
        </w:rPr>
        <w:t>打造全国航空旅游目的地。</w:t>
      </w:r>
      <w:r>
        <w:rPr>
          <w:rFonts w:hint="eastAsia" w:ascii="仿宋_GB2312" w:hAnsi="方正仿宋_GBK" w:eastAsia="仿宋_GB2312" w:cs="方正仿宋_GBK"/>
          <w:bCs/>
          <w:color w:val="auto"/>
          <w:sz w:val="32"/>
          <w:szCs w:val="32"/>
        </w:rPr>
        <w:t>依托林虑山国际滑翔基地和通航机场，</w:t>
      </w:r>
      <w:r>
        <w:rPr>
          <w:rFonts w:hint="eastAsia" w:ascii="仿宋_GB2312" w:hAnsi="方正仿宋_GBK" w:eastAsia="仿宋_GB2312" w:cs="方正仿宋_GBK"/>
          <w:color w:val="auto"/>
          <w:sz w:val="32"/>
          <w:szCs w:val="32"/>
        </w:rPr>
        <w:t>拓展旅游航空市场，着力培育“航空运动</w:t>
      </w:r>
      <w:r>
        <w:rPr>
          <w:rFonts w:ascii="仿宋_GB2312" w:hAnsi="方正仿宋_GBK" w:eastAsia="仿宋_GB2312" w:cs="方正仿宋_GBK"/>
          <w:color w:val="auto"/>
          <w:sz w:val="32"/>
          <w:szCs w:val="32"/>
        </w:rPr>
        <w:t>+</w:t>
      </w:r>
      <w:r>
        <w:rPr>
          <w:rFonts w:hint="eastAsia" w:ascii="仿宋_GB2312" w:hAnsi="方正仿宋_GBK" w:eastAsia="仿宋_GB2312" w:cs="方正仿宋_GBK"/>
          <w:color w:val="auto"/>
          <w:sz w:val="32"/>
          <w:szCs w:val="32"/>
        </w:rPr>
        <w:t>”旅游观光、体验休闲、养生度假等新业态。</w:t>
      </w:r>
      <w:r>
        <w:rPr>
          <w:rFonts w:hint="eastAsia" w:ascii="仿宋_GB2312" w:hAnsi="方正仿宋_GBK" w:eastAsia="仿宋_GB2312" w:cs="方正仿宋_GBK"/>
          <w:bCs/>
          <w:color w:val="auto"/>
          <w:sz w:val="32"/>
          <w:szCs w:val="32"/>
        </w:rPr>
        <w:t>积极推进通用航空与文化旅游资源整合发展</w:t>
      </w:r>
      <w:r>
        <w:rPr>
          <w:rFonts w:hint="eastAsia" w:ascii="仿宋_GB2312" w:hAnsi="方正仿宋_GBK" w:eastAsia="仿宋_GB2312" w:cs="方正仿宋_GBK"/>
          <w:color w:val="auto"/>
          <w:sz w:val="32"/>
          <w:szCs w:val="32"/>
        </w:rPr>
        <w:t>，推动安林旅游等短途航班常态化，打造精品航空旅游线路。深化与国家体育总局合作，积极承办国际国内重要航空运动赛事活动，持续高水平举办安阳航空运动文化旅游节。探索对接晋冀豫鲁入境旅游枢纽和国内主要旅游目的地，成立航空旅游合作联盟。引导培育具有本土特色的通航爱好者俱乐部，发展集航空飞行服务、旅游度假和会员消费于一体的休闲服务，不断完善我市航空旅游行业服务质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Pr>
          <w:p>
            <w:pPr>
              <w:spacing w:line="520" w:lineRule="exact"/>
              <w:jc w:val="center"/>
              <w:rPr>
                <w:rFonts w:ascii="黑体" w:hAnsi="黑体" w:eastAsia="黑体"/>
                <w:color w:val="auto"/>
                <w:sz w:val="24"/>
                <w:szCs w:val="24"/>
              </w:rPr>
            </w:pPr>
            <w:bookmarkStart w:id="33" w:name="_Hlk73715509"/>
            <w:r>
              <w:rPr>
                <w:rFonts w:hint="eastAsia" w:ascii="黑体" w:hAnsi="黑体" w:eastAsia="黑体"/>
                <w:color w:val="auto"/>
                <w:sz w:val="24"/>
                <w:szCs w:val="24"/>
              </w:rPr>
              <w:t>专栏</w:t>
            </w:r>
            <w:r>
              <w:rPr>
                <w:rFonts w:ascii="黑体" w:hAnsi="黑体" w:eastAsia="黑体"/>
                <w:color w:val="auto"/>
                <w:sz w:val="24"/>
                <w:szCs w:val="24"/>
              </w:rPr>
              <w:t xml:space="preserve">3.11  </w:t>
            </w:r>
            <w:r>
              <w:rPr>
                <w:rFonts w:hint="eastAsia" w:ascii="黑体" w:hAnsi="黑体" w:eastAsia="黑体"/>
                <w:color w:val="auto"/>
                <w:sz w:val="24"/>
                <w:szCs w:val="24"/>
              </w:rPr>
              <w:t>通航服务发展支撑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46" w:type="dxa"/>
          </w:tcPr>
          <w:p>
            <w:pPr>
              <w:spacing w:line="520" w:lineRule="exact"/>
              <w:ind w:firstLine="472" w:firstLineChars="196"/>
              <w:rPr>
                <w:rFonts w:ascii="宋体"/>
                <w:color w:val="auto"/>
                <w:sz w:val="24"/>
                <w:szCs w:val="24"/>
              </w:rPr>
            </w:pPr>
            <w:r>
              <w:rPr>
                <w:rFonts w:hint="eastAsia" w:ascii="宋体"/>
                <w:b/>
                <w:bCs/>
                <w:color w:val="auto"/>
                <w:sz w:val="24"/>
                <w:szCs w:val="24"/>
              </w:rPr>
              <w:t>“</w:t>
            </w:r>
            <w:r>
              <w:rPr>
                <w:rFonts w:hint="eastAsia" w:ascii="宋体" w:hAnsi="宋体" w:cs="宋体"/>
                <w:b/>
                <w:bCs/>
                <w:color w:val="auto"/>
                <w:sz w:val="24"/>
                <w:szCs w:val="24"/>
              </w:rPr>
              <w:t>两区三园</w:t>
            </w:r>
            <w:r>
              <w:rPr>
                <w:rFonts w:hint="eastAsia" w:ascii="宋体"/>
                <w:b/>
                <w:bCs/>
                <w:color w:val="auto"/>
                <w:sz w:val="24"/>
                <w:szCs w:val="24"/>
              </w:rPr>
              <w:t>”</w:t>
            </w:r>
            <w:r>
              <w:rPr>
                <w:rFonts w:hint="eastAsia" w:ascii="宋体" w:hAnsi="宋体" w:cs="宋体"/>
                <w:b/>
                <w:bCs/>
                <w:color w:val="auto"/>
                <w:sz w:val="24"/>
                <w:szCs w:val="24"/>
              </w:rPr>
              <w:t>发展布局。</w:t>
            </w:r>
            <w:r>
              <w:rPr>
                <w:rFonts w:hint="eastAsia" w:ascii="宋体" w:hAnsi="宋体" w:cs="宋体"/>
                <w:color w:val="auto"/>
                <w:sz w:val="24"/>
                <w:szCs w:val="24"/>
              </w:rPr>
              <w:t>两区：安阳市通用航空产业综合示范区、安阳市民用无人驾驶航空试验区。三园：安阳航空培训与无人机产业园、安阳林州航空运动旅游产业园、安阳航空产业园（含安阳（汤阴）航空产业园和国际航空运动城）。</w:t>
            </w:r>
          </w:p>
          <w:p>
            <w:pPr>
              <w:spacing w:line="520" w:lineRule="exact"/>
              <w:ind w:firstLine="472" w:firstLineChars="196"/>
              <w:rPr>
                <w:rFonts w:ascii="宋体"/>
                <w:b/>
                <w:bCs/>
                <w:color w:val="auto"/>
                <w:sz w:val="24"/>
                <w:szCs w:val="24"/>
              </w:rPr>
            </w:pPr>
            <w:r>
              <w:rPr>
                <w:rFonts w:hint="eastAsia" w:ascii="宋体" w:hAnsi="宋体" w:cs="宋体"/>
                <w:b/>
                <w:bCs/>
                <w:color w:val="auto"/>
                <w:sz w:val="24"/>
                <w:szCs w:val="24"/>
              </w:rPr>
              <w:t>航空物流服务。</w:t>
            </w:r>
            <w:r>
              <w:rPr>
                <w:rFonts w:hint="eastAsia" w:ascii="宋体" w:hAnsi="宋体" w:cs="宋体"/>
                <w:color w:val="auto"/>
                <w:sz w:val="24"/>
                <w:szCs w:val="24"/>
              </w:rPr>
              <w:t>依托安阳民用机场建设空港现代物流园区，发展航空物流服务，提供航空货物处理以及增值服务等物流功能，培育</w:t>
            </w:r>
            <w:r>
              <w:rPr>
                <w:rFonts w:ascii="宋体" w:hAnsi="宋体" w:cs="华文仿宋"/>
                <w:color w:val="auto"/>
                <w:sz w:val="24"/>
                <w:szCs w:val="24"/>
              </w:rPr>
              <w:t>1-2</w:t>
            </w:r>
            <w:r>
              <w:rPr>
                <w:rFonts w:hint="eastAsia" w:ascii="宋体" w:hAnsi="宋体" w:cs="宋体"/>
                <w:color w:val="auto"/>
                <w:sz w:val="24"/>
                <w:szCs w:val="24"/>
              </w:rPr>
              <w:t>家航空物流运营企业。</w:t>
            </w:r>
          </w:p>
          <w:p>
            <w:pPr>
              <w:spacing w:line="520" w:lineRule="exact"/>
              <w:ind w:firstLine="472" w:firstLineChars="196"/>
              <w:rPr>
                <w:rFonts w:ascii="宋体"/>
                <w:b/>
                <w:bCs/>
                <w:color w:val="auto"/>
                <w:sz w:val="24"/>
                <w:szCs w:val="24"/>
              </w:rPr>
            </w:pPr>
            <w:r>
              <w:rPr>
                <w:rFonts w:hint="eastAsia" w:ascii="宋体" w:hAnsi="宋体" w:cs="宋体"/>
                <w:b/>
                <w:bCs/>
                <w:color w:val="auto"/>
                <w:sz w:val="24"/>
                <w:szCs w:val="24"/>
              </w:rPr>
              <w:t>航空运动服务。</w:t>
            </w:r>
            <w:r>
              <w:rPr>
                <w:rFonts w:hint="eastAsia" w:ascii="宋体" w:hAnsi="宋体" w:cs="宋体"/>
                <w:color w:val="auto"/>
                <w:sz w:val="24"/>
                <w:szCs w:val="24"/>
              </w:rPr>
              <w:t>围绕打造中国低空运动大本营，完善林虑山、太行山国际滑翔基地建设，形成一站式竞赛、服务、旅游平台，加快建设航空主题研学基地，积极开发航空研学课程体系，开发多条低空旅游航线。</w:t>
            </w:r>
          </w:p>
          <w:p>
            <w:pPr>
              <w:spacing w:line="520" w:lineRule="exact"/>
              <w:ind w:firstLine="472" w:firstLineChars="196"/>
              <w:rPr>
                <w:rFonts w:ascii="Times New Roman" w:hAnsi="Times New Roman"/>
                <w:b/>
                <w:bCs/>
                <w:color w:val="auto"/>
                <w:sz w:val="24"/>
                <w:szCs w:val="24"/>
              </w:rPr>
            </w:pPr>
            <w:r>
              <w:rPr>
                <w:rFonts w:hint="eastAsia" w:ascii="宋体" w:hAnsi="宋体" w:cs="宋体"/>
                <w:b/>
                <w:bCs/>
                <w:color w:val="auto"/>
                <w:sz w:val="24"/>
                <w:szCs w:val="24"/>
              </w:rPr>
              <w:t>支撑平台。</w:t>
            </w:r>
            <w:r>
              <w:rPr>
                <w:rFonts w:hint="eastAsia" w:ascii="宋体" w:hAnsi="宋体" w:cs="宋体"/>
                <w:color w:val="auto"/>
                <w:sz w:val="24"/>
                <w:szCs w:val="24"/>
              </w:rPr>
              <w:t>建设</w:t>
            </w:r>
            <w:r>
              <w:rPr>
                <w:rFonts w:ascii="宋体" w:hAnsi="宋体" w:cs="华文仿宋"/>
                <w:color w:val="auto"/>
                <w:sz w:val="24"/>
                <w:szCs w:val="24"/>
              </w:rPr>
              <w:t>5G</w:t>
            </w:r>
            <w:r>
              <w:rPr>
                <w:rFonts w:hint="eastAsia" w:ascii="宋体" w:hAnsi="宋体" w:cs="宋体"/>
                <w:color w:val="auto"/>
                <w:sz w:val="24"/>
                <w:szCs w:val="24"/>
              </w:rPr>
              <w:t>泛在低空测试基地，建成</w:t>
            </w:r>
            <w:r>
              <w:rPr>
                <w:rFonts w:hint="eastAsia" w:ascii="宋体"/>
                <w:color w:val="auto"/>
                <w:sz w:val="24"/>
                <w:szCs w:val="24"/>
              </w:rPr>
              <w:t>“</w:t>
            </w:r>
            <w:r>
              <w:rPr>
                <w:rFonts w:hint="eastAsia" w:ascii="宋体" w:hAnsi="宋体" w:cs="宋体"/>
                <w:color w:val="auto"/>
                <w:sz w:val="24"/>
                <w:szCs w:val="24"/>
              </w:rPr>
              <w:t>两面一线</w:t>
            </w:r>
            <w:r>
              <w:rPr>
                <w:rFonts w:hint="eastAsia" w:ascii="宋体"/>
                <w:color w:val="auto"/>
                <w:sz w:val="24"/>
                <w:szCs w:val="24"/>
              </w:rPr>
              <w:t>”</w:t>
            </w:r>
            <w:r>
              <w:rPr>
                <w:rFonts w:hint="eastAsia" w:ascii="宋体" w:hAnsi="宋体" w:cs="宋体"/>
                <w:color w:val="auto"/>
                <w:sz w:val="24"/>
                <w:szCs w:val="24"/>
              </w:rPr>
              <w:t>的</w:t>
            </w:r>
            <w:r>
              <w:rPr>
                <w:rFonts w:ascii="宋体" w:hAnsi="宋体" w:cs="华文仿宋"/>
                <w:color w:val="auto"/>
                <w:sz w:val="24"/>
                <w:szCs w:val="24"/>
              </w:rPr>
              <w:t>5G</w:t>
            </w:r>
            <w:r>
              <w:rPr>
                <w:rFonts w:hint="eastAsia" w:ascii="宋体" w:hAnsi="宋体" w:cs="宋体"/>
                <w:color w:val="auto"/>
                <w:sz w:val="24"/>
                <w:szCs w:val="24"/>
              </w:rPr>
              <w:t>泛在低空应用测试空域，开展多领域的低空物联网应用，扩展无人机及云平台</w:t>
            </w:r>
            <w:r>
              <w:rPr>
                <w:rFonts w:ascii="宋体" w:hAnsi="宋体" w:cs="华文仿宋"/>
                <w:color w:val="auto"/>
                <w:sz w:val="24"/>
                <w:szCs w:val="24"/>
              </w:rPr>
              <w:t>5G</w:t>
            </w:r>
            <w:r>
              <w:rPr>
                <w:rFonts w:hint="eastAsia" w:ascii="宋体" w:hAnsi="宋体" w:cs="宋体"/>
                <w:color w:val="auto"/>
                <w:sz w:val="24"/>
                <w:szCs w:val="24"/>
              </w:rPr>
              <w:t>技术的应用，为全国无人机、通航飞机、直升机等机型低空应用项目提供基于</w:t>
            </w:r>
            <w:r>
              <w:rPr>
                <w:rFonts w:ascii="宋体" w:hAnsi="宋体" w:cs="华文仿宋"/>
                <w:color w:val="auto"/>
                <w:sz w:val="24"/>
                <w:szCs w:val="24"/>
              </w:rPr>
              <w:t>5G</w:t>
            </w:r>
            <w:r>
              <w:rPr>
                <w:rFonts w:hint="eastAsia" w:ascii="宋体" w:hAnsi="宋体" w:cs="宋体"/>
                <w:color w:val="auto"/>
                <w:sz w:val="24"/>
                <w:szCs w:val="24"/>
              </w:rPr>
              <w:t>网络的安全管控、测控指挥和飞行数据管理服务。</w:t>
            </w:r>
          </w:p>
        </w:tc>
      </w:tr>
      <w:bookmarkEnd w:id="33"/>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6</w:t>
      </w:r>
      <w:r>
        <w:rPr>
          <w:rFonts w:hint="eastAsia" w:ascii="仿宋_GB2312" w:hAnsi="方正仿宋_GBK" w:eastAsia="仿宋_GB2312" w:cs="方正仿宋_GBK"/>
          <w:color w:val="auto"/>
        </w:rPr>
        <w:t>、节能环保服务</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积极响应国家、省“碳达峰、碳中和”行动决策部署，突出绿色低碳发展战略，广泛应用节能环保技术，创新产业发展理念，丰富服务形式和内容，提升服务能力和效益。到</w:t>
      </w:r>
      <w:r>
        <w:rPr>
          <w:rFonts w:ascii="仿宋_GB2312" w:hAnsi="方正仿宋_GBK" w:eastAsia="仿宋_GB2312" w:cs="方正仿宋_GBK"/>
          <w:color w:val="auto"/>
          <w:sz w:val="32"/>
          <w:szCs w:val="32"/>
        </w:rPr>
        <w:t>2025</w:t>
      </w:r>
      <w:r>
        <w:rPr>
          <w:rFonts w:hint="eastAsia" w:ascii="仿宋_GB2312" w:hAnsi="方正仿宋_GBK" w:eastAsia="仿宋_GB2312" w:cs="方正仿宋_GBK"/>
          <w:color w:val="auto"/>
          <w:sz w:val="32"/>
          <w:szCs w:val="32"/>
        </w:rPr>
        <w:t>年，基本建立市场活跃、特色鲜明、规范有序的节能环保服务体系。</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大力发展节能服务。</w:t>
      </w:r>
      <w:r>
        <w:rPr>
          <w:rFonts w:hint="eastAsia" w:ascii="仿宋_GB2312" w:hAnsi="华文仿宋" w:eastAsia="仿宋_GB2312" w:cs="华文仿宋"/>
          <w:bCs/>
          <w:color w:val="auto"/>
          <w:sz w:val="32"/>
          <w:szCs w:val="32"/>
        </w:rPr>
        <w:t>鼓励</w:t>
      </w:r>
      <w:r>
        <w:rPr>
          <w:rFonts w:hint="eastAsia" w:ascii="仿宋_GB2312" w:hAnsi="华文仿宋" w:eastAsia="仿宋_GB2312" w:cs="华文仿宋"/>
          <w:color w:val="auto"/>
          <w:sz w:val="32"/>
          <w:szCs w:val="32"/>
        </w:rPr>
        <w:t>发展以合同能源管理为主要模式的节能服务业，引进、培育一批专业化节能服务公司，为重点行业企业提供节能项目设计、人员培训、节能诊断监测、信息咨询、运营维护等服务。支持大型重点用能单位依托自身技术优势和管理经验，开展专业化节能服务，探索发展智慧能源管理等新模式。</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重点发展环保服务。</w:t>
      </w:r>
      <w:r>
        <w:rPr>
          <w:rFonts w:hint="eastAsia" w:ascii="仿宋_GB2312" w:hAnsi="华文仿宋" w:eastAsia="仿宋_GB2312" w:cs="华文仿宋"/>
          <w:color w:val="auto"/>
          <w:sz w:val="32"/>
          <w:szCs w:val="32"/>
        </w:rPr>
        <w:t>鼓励环保服务公司开展一体化总集成总承包服务业务，以钢铁及深加工、高端装备制造、精细化工、建材等产业为重点领域，发展环境咨询、生态环境修复、环境风险与损害评价、环境审计、绿色认证、环境培训等新兴服务。在工业污染治理、烟气脱硫脱硝、城镇污水、垃圾处理等重点领域，积极推行环境污染第三方治理，培育环境系统解决方案服务商。</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bCs/>
          <w:color w:val="auto"/>
          <w:sz w:val="32"/>
          <w:szCs w:val="32"/>
        </w:rPr>
        <w:t>积极发展资源循环利用服务。</w:t>
      </w:r>
      <w:r>
        <w:rPr>
          <w:rFonts w:hint="eastAsia" w:ascii="仿宋_GB2312" w:hAnsi="华文仿宋" w:eastAsia="仿宋_GB2312" w:cs="华文仿宋"/>
          <w:color w:val="auto"/>
          <w:sz w:val="32"/>
          <w:szCs w:val="32"/>
        </w:rPr>
        <w:t>围绕建设资源循环型社会，积极开展废弃电器电子产品回收利用、汽车使用全生命周期管理、塑料污染全链条治理、快递包装绿色转型、废旧动力电池循环利用等工作，推进废旧物资回收网络建设，构建废旧物资循环利用体系，促进再制造产业高质量发展。</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786" w:type="dxa"/>
            <w:tcBorders>
              <w:top w:val="single" w:color="auto" w:sz="8" w:space="0"/>
            </w:tcBorders>
            <w:vAlign w:val="center"/>
          </w:tcPr>
          <w:p>
            <w:pPr>
              <w:spacing w:line="520" w:lineRule="exact"/>
              <w:jc w:val="center"/>
              <w:rPr>
                <w:rFonts w:ascii="黑体" w:hAnsi="黑体" w:eastAsia="黑体"/>
                <w:color w:val="auto"/>
                <w:sz w:val="24"/>
                <w:szCs w:val="24"/>
              </w:rPr>
            </w:pPr>
            <w:r>
              <w:rPr>
                <w:rFonts w:hint="eastAsia" w:ascii="黑体" w:hAnsi="黑体" w:eastAsia="黑体"/>
                <w:color w:val="auto"/>
                <w:sz w:val="24"/>
                <w:szCs w:val="24"/>
              </w:rPr>
              <w:t>专栏</w:t>
            </w:r>
            <w:r>
              <w:rPr>
                <w:rFonts w:ascii="黑体" w:hAnsi="黑体" w:eastAsia="黑体"/>
                <w:color w:val="auto"/>
                <w:sz w:val="24"/>
                <w:szCs w:val="24"/>
              </w:rPr>
              <w:t xml:space="preserve">3.12  </w:t>
            </w:r>
            <w:r>
              <w:rPr>
                <w:rFonts w:hint="eastAsia" w:ascii="黑体" w:hAnsi="黑体" w:eastAsia="黑体"/>
                <w:color w:val="auto"/>
                <w:sz w:val="24"/>
                <w:szCs w:val="24"/>
              </w:rPr>
              <w:t>节能环保服务发展支撑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8786" w:type="dxa"/>
            <w:tcBorders>
              <w:bottom w:val="single" w:color="auto" w:sz="8" w:space="0"/>
            </w:tcBorders>
            <w:vAlign w:val="center"/>
          </w:tcPr>
          <w:p>
            <w:pPr>
              <w:spacing w:line="520" w:lineRule="exact"/>
              <w:ind w:firstLine="482" w:firstLineChars="200"/>
              <w:rPr>
                <w:rFonts w:ascii="宋体"/>
                <w:color w:val="auto"/>
                <w:sz w:val="24"/>
                <w:szCs w:val="24"/>
              </w:rPr>
            </w:pPr>
            <w:r>
              <w:rPr>
                <w:rFonts w:hint="eastAsia" w:ascii="宋体" w:hAnsi="宋体" w:cs="宋体"/>
                <w:b/>
                <w:bCs/>
                <w:color w:val="auto"/>
                <w:sz w:val="24"/>
                <w:szCs w:val="24"/>
              </w:rPr>
              <w:t>培育重点企业。</w:t>
            </w:r>
            <w:r>
              <w:rPr>
                <w:rFonts w:hint="eastAsia" w:ascii="宋体" w:hAnsi="宋体" w:cs="宋体"/>
                <w:color w:val="auto"/>
                <w:sz w:val="24"/>
                <w:szCs w:val="24"/>
              </w:rPr>
              <w:t>在节能减排、清洁生产、资源综合利用等方面，创建一批节能减排科技创新示范企业，争创一批国家级、省级绿色工厂（园区）。围绕建立废旧家电回收体系，培育</w:t>
            </w:r>
            <w:r>
              <w:rPr>
                <w:rFonts w:ascii="宋体" w:hAnsi="宋体" w:cs="华文仿宋"/>
                <w:color w:val="auto"/>
                <w:sz w:val="24"/>
                <w:szCs w:val="24"/>
              </w:rPr>
              <w:t>3</w:t>
            </w:r>
            <w:r>
              <w:rPr>
                <w:rFonts w:hint="eastAsia" w:ascii="宋体" w:hAnsi="宋体" w:cs="宋体"/>
                <w:color w:val="auto"/>
                <w:sz w:val="24"/>
                <w:szCs w:val="24"/>
              </w:rPr>
              <w:t>家左右废旧家电回收试点企业。</w:t>
            </w:r>
          </w:p>
          <w:p>
            <w:pPr>
              <w:spacing w:line="520" w:lineRule="exact"/>
              <w:ind w:firstLine="482" w:firstLineChars="200"/>
              <w:rPr>
                <w:rFonts w:ascii="Times New Roman" w:hAnsi="Times New Roman"/>
                <w:color w:val="auto"/>
                <w:sz w:val="24"/>
                <w:szCs w:val="24"/>
              </w:rPr>
            </w:pPr>
            <w:r>
              <w:rPr>
                <w:rFonts w:hint="eastAsia" w:ascii="宋体" w:hAnsi="宋体" w:cs="宋体"/>
                <w:b/>
                <w:bCs/>
                <w:color w:val="auto"/>
                <w:sz w:val="24"/>
                <w:szCs w:val="24"/>
              </w:rPr>
              <w:t>支撑平台。</w:t>
            </w:r>
            <w:r>
              <w:rPr>
                <w:rFonts w:hint="eastAsia" w:ascii="宋体" w:hAnsi="宋体" w:cs="宋体"/>
                <w:color w:val="auto"/>
                <w:sz w:val="24"/>
                <w:szCs w:val="24"/>
              </w:rPr>
              <w:t>支持龙头企业建立全市再生资源回收体系，开展行业数据采集、数据分析、流向监测，积极构建资源循环利用回收、产品营销、溯源等信息化管理系统。</w:t>
            </w:r>
          </w:p>
        </w:tc>
      </w:tr>
    </w:tbl>
    <w:p>
      <w:pPr>
        <w:pStyle w:val="3"/>
        <w:spacing w:line="580" w:lineRule="exact"/>
        <w:rPr>
          <w:rFonts w:ascii="楷体_GB2312" w:hAnsi="华文楷体" w:eastAsia="楷体_GB2312" w:cs="华文楷体"/>
          <w:color w:val="auto"/>
        </w:rPr>
      </w:pPr>
      <w:bookmarkStart w:id="34" w:name="_Toc99813100"/>
      <w:r>
        <w:rPr>
          <w:rFonts w:ascii="楷体_GB2312" w:hAnsi="华文楷体" w:eastAsia="楷体_GB2312" w:cs="华文楷体"/>
          <w:color w:val="auto"/>
        </w:rPr>
        <w:t xml:space="preserve">    </w:t>
      </w:r>
      <w:r>
        <w:rPr>
          <w:rFonts w:hint="eastAsia" w:ascii="楷体_GB2312" w:hAnsi="华文楷体" w:eastAsia="楷体_GB2312" w:cs="华文楷体"/>
          <w:color w:val="auto"/>
        </w:rPr>
        <w:t>（三）优化提升基础型服务业</w:t>
      </w:r>
      <w:bookmarkEnd w:id="34"/>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、健康服务</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加快发展大健康产业，满足人民群众多样化健康需求，建设区域医疗服务供给中心。到</w:t>
      </w:r>
      <w:r>
        <w:rPr>
          <w:rFonts w:ascii="仿宋_GB2312" w:hAnsi="华文仿宋" w:eastAsia="仿宋_GB2312" w:cs="华文仿宋"/>
          <w:color w:val="auto"/>
          <w:sz w:val="32"/>
          <w:szCs w:val="32"/>
        </w:rPr>
        <w:t>2025</w:t>
      </w:r>
      <w:r>
        <w:rPr>
          <w:rFonts w:hint="eastAsia" w:ascii="仿宋_GB2312" w:hAnsi="华文仿宋" w:eastAsia="仿宋_GB2312" w:cs="华文仿宋"/>
          <w:color w:val="auto"/>
          <w:sz w:val="32"/>
          <w:szCs w:val="32"/>
        </w:rPr>
        <w:t>年，基本形成完善的健康产业体系，优质健康资源覆盖面有效扩大，形成一批具有较强带动作用的大健康产业集群。</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bCs/>
          <w:color w:val="auto"/>
          <w:sz w:val="32"/>
          <w:szCs w:val="32"/>
        </w:rPr>
        <w:t>加快提升健康服务能力。</w:t>
      </w:r>
      <w:r>
        <w:rPr>
          <w:rFonts w:hint="eastAsia" w:ascii="仿宋_GB2312" w:hAnsi="华文仿宋" w:eastAsia="仿宋_GB2312" w:cs="华文仿宋"/>
          <w:color w:val="auto"/>
          <w:sz w:val="32"/>
          <w:szCs w:val="32"/>
        </w:rPr>
        <w:t>发挥安阳医疗服务综合优势，以基本医疗卫生服务为基础，以健康管理和保障服务为重点，构建多层次协同的健康服务产业体系。加快打造以肿瘤医学、神经医学、口腔医学、眼科医学、中医儿科等为支撑的省级区域医疗中心。规范和引导社会力量举办康复医疗中心、护理中心、健康体检中心、眼科医院医疗机构和医学检验实验室、病理诊断中心、医学影像中心、血液透析中心等独立设置医疗机构，强化社会办医精专特色。大力提升中医药康养服务能力，发展“中医康养”产业，</w:t>
      </w:r>
      <w:r>
        <w:rPr>
          <w:rFonts w:hint="eastAsia" w:ascii="仿宋_GB2312" w:hAnsi="华文仿宋" w:eastAsia="仿宋_GB2312" w:cs="华文仿宋"/>
          <w:color w:val="auto"/>
          <w:spacing w:val="-8"/>
          <w:sz w:val="32"/>
          <w:szCs w:val="32"/>
        </w:rPr>
        <w:t>支持建设一批体检中心、国医馆、名中医工作室、中医药康养基地。大力发展家庭医生服务，提高家庭医生签约服务率。积极发展“互联网＋诊疗”服务，开展远程医疗、健康咨询、健康管理服务。</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大力发展康复医疗服务。</w:t>
      </w:r>
      <w:r>
        <w:rPr>
          <w:rFonts w:hint="eastAsia" w:ascii="仿宋_GB2312" w:hAnsi="华文仿宋" w:eastAsia="仿宋_GB2312" w:cs="华文仿宋"/>
          <w:color w:val="auto"/>
          <w:sz w:val="32"/>
          <w:szCs w:val="32"/>
        </w:rPr>
        <w:t>加快康复医疗产业创新发展，依托康复医疗产业技术研究院、内黄康复医疗产业园、高新区康复医疗产业创新服务中心等载体，加快建设康复医疗协同创新体系、人才培养体系、分级服务体系。积极开发智能化康复设备，发展穿戴式植入式智能设备、移动终端等，提供无接触、智慧化、个性化康复管理服务。</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Times New Roman" w:eastAsia="仿宋_GB2312"/>
          <w:b/>
          <w:color w:val="auto"/>
          <w:sz w:val="32"/>
          <w:szCs w:val="32"/>
        </w:rPr>
        <w:t>加强体育健身服务。</w:t>
      </w:r>
      <w:r>
        <w:rPr>
          <w:rFonts w:hint="eastAsia" w:ascii="仿宋_GB2312" w:hAnsi="华文仿宋" w:eastAsia="仿宋_GB2312" w:cs="华文仿宋"/>
          <w:color w:val="auto"/>
          <w:sz w:val="32"/>
          <w:szCs w:val="32"/>
        </w:rPr>
        <w:t>积极推进体育场馆及体育设施建设，构建覆盖全市的体育场馆和城乡群众健身场地设施网络。重点培育健身休闲、竞赛表演、场馆服务、中介培训等体育服务业态。大力吸引社会资本，着力打造一批优秀体育服务业骨干企业和特色体育服务产品，</w:t>
      </w:r>
      <w:r>
        <w:rPr>
          <w:rFonts w:hint="eastAsia" w:ascii="仿宋_GB2312" w:hAnsi="华文仿宋" w:eastAsia="仿宋_GB2312" w:cs="华文仿宋"/>
          <w:color w:val="auto"/>
          <w:sz w:val="32"/>
          <w:szCs w:val="32"/>
          <w:lang w:eastAsia="zh-TW"/>
        </w:rPr>
        <w:t>大力发展运动俱乐部，</w:t>
      </w:r>
      <w:r>
        <w:rPr>
          <w:rFonts w:hint="eastAsia" w:ascii="仿宋_GB2312" w:hAnsi="华文仿宋" w:eastAsia="仿宋_GB2312" w:cs="华文仿宋"/>
          <w:color w:val="auto"/>
          <w:sz w:val="32"/>
          <w:szCs w:val="32"/>
        </w:rPr>
        <w:t>打造一批</w:t>
      </w:r>
      <w:r>
        <w:rPr>
          <w:rFonts w:hint="eastAsia" w:ascii="仿宋_GB2312" w:hAnsi="华文仿宋" w:eastAsia="仿宋_GB2312" w:cs="华文仿宋"/>
          <w:color w:val="auto"/>
          <w:sz w:val="32"/>
          <w:szCs w:val="32"/>
          <w:lang w:eastAsia="zh-TW"/>
        </w:rPr>
        <w:t>户外运动休闲露营基地，开发</w:t>
      </w:r>
      <w:r>
        <w:rPr>
          <w:rFonts w:hint="eastAsia" w:ascii="仿宋_GB2312" w:hAnsi="华文仿宋" w:eastAsia="仿宋_GB2312" w:cs="华文仿宋"/>
          <w:color w:val="auto"/>
          <w:sz w:val="32"/>
          <w:szCs w:val="32"/>
        </w:rPr>
        <w:t>徒步、攀岩、马拉松等体育产品</w:t>
      </w:r>
      <w:r>
        <w:rPr>
          <w:rFonts w:hint="eastAsia" w:ascii="仿宋_GB2312" w:hAnsi="华文仿宋" w:eastAsia="仿宋_GB2312" w:cs="华文仿宋"/>
          <w:color w:val="auto"/>
          <w:sz w:val="32"/>
          <w:szCs w:val="32"/>
          <w:lang w:eastAsia="zh-CN"/>
        </w:rPr>
        <w:t>，培育发展冰雪运动</w:t>
      </w:r>
      <w:r>
        <w:rPr>
          <w:rFonts w:hint="eastAsia" w:ascii="仿宋_GB2312" w:hAnsi="华文仿宋" w:eastAsia="仿宋_GB2312" w:cs="华文仿宋"/>
          <w:color w:val="auto"/>
          <w:sz w:val="32"/>
          <w:szCs w:val="32"/>
        </w:rPr>
        <w:t>。</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6" w:type="dxa"/>
            <w:tcBorders>
              <w:top w:val="single" w:color="auto" w:sz="8" w:space="0"/>
            </w:tcBorders>
          </w:tcPr>
          <w:p>
            <w:pPr>
              <w:spacing w:line="520" w:lineRule="exact"/>
              <w:jc w:val="center"/>
              <w:rPr>
                <w:rFonts w:ascii="黑体" w:hAnsi="黑体" w:eastAsia="黑体"/>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3.13  </w:t>
            </w:r>
            <w:r>
              <w:rPr>
                <w:rFonts w:hint="eastAsia" w:ascii="黑体" w:hAnsi="黑体" w:eastAsia="黑体"/>
                <w:color w:val="auto"/>
                <w:kern w:val="0"/>
                <w:sz w:val="24"/>
                <w:szCs w:val="24"/>
              </w:rPr>
              <w:t>健康服务发展支撑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bottom w:val="single" w:color="auto" w:sz="8" w:space="0"/>
            </w:tcBorders>
          </w:tcPr>
          <w:p>
            <w:pPr>
              <w:spacing w:line="520" w:lineRule="exact"/>
              <w:ind w:firstLine="482" w:firstLineChars="200"/>
              <w:rPr>
                <w:rFonts w:hint="default" w:ascii="宋体" w:hAnsi="宋体" w:eastAsia="宋体" w:cs="宋体"/>
                <w:color w:val="auto"/>
                <w:kern w:val="0"/>
                <w:sz w:val="24"/>
                <w:szCs w:val="24"/>
                <w:lang w:val="en-US"/>
              </w:rPr>
            </w:pPr>
            <w:r>
              <w:rPr>
                <w:rFonts w:hint="eastAsia" w:ascii="宋体" w:hAnsi="宋体" w:cs="宋体"/>
                <w:b/>
                <w:bCs/>
                <w:color w:val="auto"/>
                <w:kern w:val="0"/>
                <w:sz w:val="24"/>
                <w:szCs w:val="24"/>
                <w:lang w:eastAsia="zh-CN"/>
              </w:rPr>
              <w:t>医疗卫生</w:t>
            </w:r>
            <w:r>
              <w:rPr>
                <w:rFonts w:hint="eastAsia" w:ascii="宋体" w:hAnsi="宋体" w:cs="宋体"/>
                <w:b/>
                <w:bCs/>
                <w:color w:val="auto"/>
                <w:kern w:val="0"/>
                <w:sz w:val="24"/>
                <w:szCs w:val="24"/>
              </w:rPr>
              <w:t>服务</w:t>
            </w:r>
            <w:r>
              <w:rPr>
                <w:rFonts w:hint="eastAsia" w:ascii="宋体" w:hAnsi="宋体" w:cs="宋体"/>
                <w:b/>
                <w:bCs/>
                <w:color w:val="auto"/>
                <w:kern w:val="0"/>
                <w:sz w:val="24"/>
                <w:szCs w:val="24"/>
                <w:lang w:eastAsia="zh-CN"/>
              </w:rPr>
              <w:t>提升工程</w:t>
            </w:r>
            <w:r>
              <w:rPr>
                <w:rFonts w:hint="eastAsia" w:ascii="宋体" w:hAnsi="宋体" w:cs="宋体"/>
                <w:b/>
                <w:color w:val="auto"/>
                <w:kern w:val="0"/>
                <w:sz w:val="24"/>
                <w:szCs w:val="24"/>
              </w:rPr>
              <w:t>。</w:t>
            </w:r>
            <w:r>
              <w:rPr>
                <w:rFonts w:hint="eastAsia" w:ascii="宋体" w:hAnsi="宋体" w:eastAsia="宋体" w:cs="宋体"/>
                <w:color w:val="auto"/>
                <w:kern w:val="0"/>
                <w:sz w:val="24"/>
                <w:szCs w:val="24"/>
                <w:lang w:val="en-US" w:eastAsia="zh-CN"/>
              </w:rPr>
              <w:t>建设20个以上医疗卫生服务项目</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提升重大疫情疾病防控救治能力，</w:t>
            </w:r>
            <w:r>
              <w:rPr>
                <w:rFonts w:hint="eastAsia" w:ascii="宋体" w:hAnsi="宋体" w:eastAsia="宋体" w:cs="宋体"/>
                <w:color w:val="auto"/>
                <w:kern w:val="0"/>
                <w:sz w:val="24"/>
                <w:szCs w:val="24"/>
                <w:lang w:eastAsia="zh-CN"/>
              </w:rPr>
              <w:t>建好市级“四所公立医院”，</w:t>
            </w:r>
            <w:r>
              <w:rPr>
                <w:rFonts w:hint="eastAsia" w:ascii="宋体" w:hAnsi="宋体" w:eastAsia="宋体" w:cs="宋体"/>
                <w:color w:val="auto"/>
                <w:kern w:val="0"/>
                <w:sz w:val="24"/>
                <w:szCs w:val="24"/>
              </w:rPr>
              <w:t>实现县级“三所</w:t>
            </w:r>
            <w:r>
              <w:rPr>
                <w:rFonts w:hint="eastAsia" w:ascii="宋体" w:hAnsi="宋体" w:eastAsia="宋体" w:cs="宋体"/>
                <w:color w:val="auto"/>
                <w:kern w:val="0"/>
                <w:sz w:val="24"/>
                <w:szCs w:val="24"/>
                <w:lang w:eastAsia="zh-CN"/>
              </w:rPr>
              <w:t>公立</w:t>
            </w:r>
            <w:r>
              <w:rPr>
                <w:rFonts w:hint="eastAsia" w:ascii="宋体" w:hAnsi="宋体" w:eastAsia="宋体" w:cs="宋体"/>
                <w:color w:val="auto"/>
                <w:kern w:val="0"/>
                <w:sz w:val="24"/>
                <w:szCs w:val="24"/>
              </w:rPr>
              <w:t>医院”达标建设全覆盖</w:t>
            </w:r>
            <w:r>
              <w:rPr>
                <w:rFonts w:hint="eastAsia" w:ascii="宋体" w:hAnsi="宋体" w:eastAsia="宋体" w:cs="宋体"/>
                <w:color w:val="auto"/>
                <w:kern w:val="0"/>
                <w:sz w:val="24"/>
                <w:szCs w:val="24"/>
                <w:lang w:val="en-US" w:eastAsia="zh-CN"/>
              </w:rPr>
              <w:t>，建成儿科、脑科省级区域中医专科诊疗中心</w:t>
            </w:r>
            <w:r>
              <w:rPr>
                <w:rFonts w:hint="eastAsia" w:ascii="宋体" w:hAnsi="宋体" w:eastAsia="宋体" w:cs="宋体"/>
                <w:color w:val="auto"/>
                <w:kern w:val="0"/>
                <w:sz w:val="24"/>
                <w:szCs w:val="24"/>
                <w:lang w:eastAsia="zh-CN"/>
              </w:rPr>
              <w:t>。</w:t>
            </w:r>
          </w:p>
          <w:p>
            <w:pPr>
              <w:spacing w:line="520" w:lineRule="exact"/>
              <w:ind w:firstLine="482" w:firstLineChars="200"/>
              <w:rPr>
                <w:rFonts w:hint="eastAsia" w:ascii="宋体" w:hAnsi="宋体" w:cs="宋体"/>
                <w:color w:val="auto"/>
                <w:kern w:val="0"/>
                <w:sz w:val="24"/>
                <w:szCs w:val="24"/>
                <w:lang w:val="en-US" w:eastAsia="zh-CN"/>
              </w:rPr>
            </w:pPr>
            <w:r>
              <w:rPr>
                <w:rFonts w:hint="eastAsia" w:ascii="宋体" w:hAnsi="宋体" w:cs="宋体"/>
                <w:b/>
                <w:bCs/>
                <w:color w:val="auto"/>
                <w:kern w:val="0"/>
                <w:sz w:val="24"/>
                <w:szCs w:val="24"/>
                <w:lang w:eastAsia="zh-CN"/>
              </w:rPr>
              <w:t>中医药创新发展。</w:t>
            </w:r>
            <w:r>
              <w:rPr>
                <w:rFonts w:hint="eastAsia" w:ascii="宋体" w:hAnsi="宋体" w:cs="宋体"/>
                <w:color w:val="auto"/>
                <w:kern w:val="0"/>
                <w:sz w:val="24"/>
                <w:szCs w:val="24"/>
              </w:rPr>
              <w:t>发挥中医药</w:t>
            </w:r>
            <w:r>
              <w:rPr>
                <w:rFonts w:hint="eastAsia" w:ascii="宋体" w:hAnsi="宋体" w:cs="宋体"/>
                <w:color w:val="auto"/>
                <w:kern w:val="0"/>
                <w:sz w:val="24"/>
                <w:szCs w:val="24"/>
                <w:lang w:eastAsia="zh-CN"/>
              </w:rPr>
              <w:t>康复服务</w:t>
            </w:r>
            <w:r>
              <w:rPr>
                <w:rFonts w:hint="eastAsia" w:ascii="宋体" w:hAnsi="宋体" w:cs="宋体"/>
                <w:color w:val="auto"/>
                <w:kern w:val="0"/>
                <w:sz w:val="24"/>
                <w:szCs w:val="24"/>
              </w:rPr>
              <w:t>特色优势</w:t>
            </w:r>
            <w:r>
              <w:rPr>
                <w:rFonts w:hint="eastAsia" w:ascii="宋体" w:hAnsi="宋体" w:cs="宋体"/>
                <w:color w:val="auto"/>
                <w:kern w:val="0"/>
                <w:sz w:val="24"/>
                <w:szCs w:val="24"/>
                <w:lang w:eastAsia="zh-CN"/>
              </w:rPr>
              <w:t>，积极</w:t>
            </w:r>
            <w:r>
              <w:rPr>
                <w:rFonts w:hint="eastAsia" w:ascii="宋体" w:hAnsi="宋体" w:eastAsia="宋体" w:cs="宋体"/>
                <w:color w:val="auto"/>
                <w:kern w:val="0"/>
                <w:sz w:val="24"/>
                <w:szCs w:val="24"/>
                <w:lang w:val="en-US" w:eastAsia="zh-CN"/>
              </w:rPr>
              <w:t>开发药食同源、保健、中医美容等产品，打造一批中医药品牌，促进中医药服务创新发展。</w:t>
            </w:r>
            <w:r>
              <w:rPr>
                <w:rFonts w:hint="eastAsia" w:ascii="宋体" w:hAnsi="宋体" w:cs="宋体"/>
                <w:color w:val="auto"/>
                <w:kern w:val="0"/>
                <w:sz w:val="24"/>
                <w:szCs w:val="24"/>
                <w:lang w:val="en-US" w:eastAsia="zh-CN"/>
              </w:rPr>
              <w:t>推动</w:t>
            </w:r>
            <w:r>
              <w:rPr>
                <w:rFonts w:hint="eastAsia" w:ascii="宋体" w:hAnsi="宋体" w:cs="宋体"/>
                <w:color w:val="auto"/>
                <w:kern w:val="0"/>
                <w:sz w:val="24"/>
                <w:szCs w:val="24"/>
              </w:rPr>
              <w:t>市</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县</w:t>
            </w:r>
            <w:r>
              <w:rPr>
                <w:rFonts w:hint="eastAsia" w:ascii="宋体" w:hAnsi="宋体" w:cs="宋体"/>
                <w:color w:val="auto"/>
                <w:kern w:val="0"/>
                <w:sz w:val="24"/>
                <w:szCs w:val="24"/>
              </w:rPr>
              <w:t>中医院</w:t>
            </w:r>
            <w:r>
              <w:rPr>
                <w:rFonts w:hint="eastAsia" w:ascii="宋体" w:hAnsi="宋体" w:cs="宋体"/>
                <w:color w:val="auto"/>
                <w:kern w:val="0"/>
                <w:sz w:val="24"/>
                <w:szCs w:val="24"/>
                <w:lang w:val="en-US" w:eastAsia="zh-CN"/>
              </w:rPr>
              <w:t xml:space="preserve">提质扩能，建成12个以上中医馆、8个以上示范中医馆。  </w:t>
            </w:r>
          </w:p>
          <w:p>
            <w:pPr>
              <w:spacing w:line="520" w:lineRule="exact"/>
              <w:ind w:firstLine="482" w:firstLineChars="200"/>
              <w:rPr>
                <w:rFonts w:hint="eastAsia" w:ascii="宋体" w:hAnsi="宋体" w:cs="宋体"/>
                <w:color w:val="auto"/>
                <w:kern w:val="0"/>
                <w:sz w:val="24"/>
                <w:szCs w:val="24"/>
              </w:rPr>
            </w:pPr>
            <w:r>
              <w:rPr>
                <w:rFonts w:hint="eastAsia" w:ascii="宋体" w:hAnsi="宋体" w:cs="宋体"/>
                <w:b/>
                <w:bCs/>
                <w:color w:val="auto"/>
                <w:kern w:val="0"/>
                <w:sz w:val="24"/>
                <w:szCs w:val="24"/>
                <w:lang w:val="en-US" w:eastAsia="zh-CN"/>
              </w:rPr>
              <w:t>加强</w:t>
            </w:r>
            <w:r>
              <w:rPr>
                <w:rFonts w:hint="eastAsia" w:ascii="宋体" w:hAnsi="宋体" w:cs="宋体"/>
                <w:b/>
                <w:bCs/>
                <w:color w:val="auto"/>
                <w:kern w:val="0"/>
                <w:sz w:val="24"/>
                <w:szCs w:val="24"/>
                <w:u w:val="none"/>
                <w:lang w:val="en-US" w:eastAsia="zh-CN"/>
              </w:rPr>
              <w:t>体育服务供给</w:t>
            </w:r>
            <w:r>
              <w:rPr>
                <w:rFonts w:hint="eastAsia" w:ascii="宋体" w:hAnsi="宋体" w:cs="宋体"/>
                <w:b/>
                <w:bCs/>
                <w:color w:val="auto"/>
                <w:kern w:val="0"/>
                <w:sz w:val="24"/>
                <w:szCs w:val="24"/>
                <w:lang w:val="en" w:eastAsia="zh-CN"/>
              </w:rPr>
              <w:t>。</w:t>
            </w:r>
            <w:r>
              <w:rPr>
                <w:rFonts w:hint="eastAsia" w:ascii="宋体" w:hAnsi="宋体" w:cs="宋体"/>
                <w:color w:val="auto"/>
                <w:kern w:val="0"/>
                <w:sz w:val="24"/>
                <w:szCs w:val="24"/>
                <w:lang w:val="en-US" w:eastAsia="zh-CN"/>
              </w:rPr>
              <w:t>新建、改扩建7个体育公园，建成500个足球场</w:t>
            </w:r>
            <w:r>
              <w:rPr>
                <w:rFonts w:hint="eastAsia" w:ascii="宋体" w:hAnsi="宋体" w:cs="宋体"/>
                <w:color w:val="auto"/>
                <w:kern w:val="0"/>
                <w:sz w:val="24"/>
                <w:szCs w:val="24"/>
              </w:rPr>
              <w:t>。</w:t>
            </w:r>
          </w:p>
          <w:p>
            <w:pPr>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lang w:eastAsia="zh-CN"/>
              </w:rPr>
              <w:t>壮大</w:t>
            </w:r>
            <w:r>
              <w:rPr>
                <w:rFonts w:hint="eastAsia" w:ascii="宋体" w:hAnsi="宋体" w:cs="宋体"/>
                <w:b/>
                <w:bCs/>
                <w:color w:val="auto"/>
                <w:kern w:val="0"/>
                <w:sz w:val="24"/>
                <w:szCs w:val="24"/>
              </w:rPr>
              <w:t>医疗康复产业。</w:t>
            </w:r>
            <w:r>
              <w:rPr>
                <w:rFonts w:hint="eastAsia" w:ascii="宋体" w:hAnsi="宋体" w:cs="宋体"/>
                <w:color w:val="auto"/>
                <w:kern w:val="0"/>
                <w:sz w:val="24"/>
                <w:szCs w:val="24"/>
              </w:rPr>
              <w:t>从政策引领、创新发展、人才引进、优化环境等方面支持康复产业做大做强。到</w:t>
            </w:r>
            <w:r>
              <w:rPr>
                <w:rFonts w:ascii="宋体" w:hAnsi="宋体" w:cs="华文仿宋"/>
                <w:color w:val="auto"/>
                <w:kern w:val="0"/>
                <w:sz w:val="24"/>
                <w:szCs w:val="24"/>
              </w:rPr>
              <w:t>2025</w:t>
            </w:r>
            <w:r>
              <w:rPr>
                <w:rFonts w:hint="eastAsia" w:ascii="宋体" w:hAnsi="宋体" w:cs="宋体"/>
                <w:color w:val="auto"/>
                <w:kern w:val="0"/>
                <w:sz w:val="24"/>
                <w:szCs w:val="24"/>
              </w:rPr>
              <w:t>年，培育一批具备较强竞争力的康复企业，产值达到</w:t>
            </w:r>
            <w:r>
              <w:rPr>
                <w:rFonts w:ascii="宋体" w:hAnsi="宋体" w:cs="华文仿宋"/>
                <w:color w:val="auto"/>
                <w:kern w:val="0"/>
                <w:sz w:val="24"/>
                <w:szCs w:val="24"/>
              </w:rPr>
              <w:t>100</w:t>
            </w:r>
            <w:r>
              <w:rPr>
                <w:rFonts w:hint="eastAsia" w:ascii="宋体" w:hAnsi="宋体" w:cs="宋体"/>
                <w:color w:val="auto"/>
                <w:kern w:val="0"/>
                <w:sz w:val="24"/>
                <w:szCs w:val="24"/>
              </w:rPr>
              <w:t>亿元以上。</w:t>
            </w:r>
          </w:p>
          <w:p>
            <w:pPr>
              <w:spacing w:line="520" w:lineRule="exact"/>
              <w:ind w:firstLine="482" w:firstLineChars="200"/>
              <w:rPr>
                <w:rFonts w:ascii="Times New Roman" w:hAnsi="Times New Roman"/>
                <w:color w:val="auto"/>
                <w:kern w:val="0"/>
                <w:sz w:val="24"/>
                <w:szCs w:val="24"/>
              </w:rPr>
            </w:pPr>
            <w:r>
              <w:rPr>
                <w:rFonts w:hint="eastAsia" w:ascii="宋体" w:hAnsi="宋体" w:cs="宋体"/>
                <w:b/>
                <w:bCs/>
                <w:color w:val="auto"/>
                <w:kern w:val="0"/>
                <w:sz w:val="24"/>
                <w:szCs w:val="24"/>
              </w:rPr>
              <w:t>重点改革支撑。</w:t>
            </w:r>
            <w:r>
              <w:rPr>
                <w:rFonts w:hint="eastAsia" w:ascii="宋体" w:hAnsi="宋体" w:cs="宋体"/>
                <w:color w:val="auto"/>
                <w:kern w:val="0"/>
                <w:sz w:val="24"/>
                <w:szCs w:val="24"/>
              </w:rPr>
              <w:t>加快县域医共体建设，实现以县级医院为龙头、乡镇卫生院为枢纽、村卫生室为基础的县、乡、村一体化管理，构建三级联动县域医疗服务体系。</w:t>
            </w:r>
          </w:p>
        </w:tc>
      </w:tr>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、养老育幼</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促进养老育幼服务健康发展，逐步构建居家、社区、机构相协调、医养康养相结合的养老服务体系，积极发展普惠托育服务，完善“一老一小”养育服务体系。到</w:t>
      </w:r>
      <w:r>
        <w:rPr>
          <w:rFonts w:ascii="仿宋_GB2312" w:hAnsi="华文仿宋" w:eastAsia="仿宋_GB2312" w:cs="华文仿宋"/>
          <w:color w:val="auto"/>
          <w:sz w:val="32"/>
          <w:szCs w:val="32"/>
        </w:rPr>
        <w:t>2025</w:t>
      </w:r>
      <w:r>
        <w:rPr>
          <w:rFonts w:hint="eastAsia" w:ascii="仿宋_GB2312" w:hAnsi="华文仿宋" w:eastAsia="仿宋_GB2312" w:cs="华文仿宋"/>
          <w:color w:val="auto"/>
          <w:sz w:val="32"/>
          <w:szCs w:val="32"/>
        </w:rPr>
        <w:t>年，全市养老机构护理型床位占比超过</w:t>
      </w:r>
      <w:r>
        <w:rPr>
          <w:rFonts w:ascii="仿宋_GB2312" w:hAnsi="华文仿宋" w:eastAsia="仿宋_GB2312" w:cs="华文仿宋"/>
          <w:color w:val="auto"/>
          <w:sz w:val="32"/>
          <w:szCs w:val="32"/>
        </w:rPr>
        <w:t>55%</w:t>
      </w:r>
      <w:r>
        <w:rPr>
          <w:rFonts w:hint="eastAsia" w:ascii="仿宋_GB2312" w:hAnsi="华文仿宋" w:eastAsia="仿宋_GB2312" w:cs="华文仿宋"/>
          <w:color w:val="auto"/>
          <w:sz w:val="32"/>
          <w:szCs w:val="32"/>
        </w:rPr>
        <w:t>，每千人口拥有</w:t>
      </w:r>
      <w:r>
        <w:rPr>
          <w:rFonts w:ascii="仿宋_GB2312" w:hAnsi="华文仿宋" w:eastAsia="仿宋_GB2312" w:cs="华文仿宋"/>
          <w:color w:val="auto"/>
          <w:sz w:val="32"/>
          <w:szCs w:val="32"/>
        </w:rPr>
        <w:t>3</w:t>
      </w:r>
      <w:r>
        <w:rPr>
          <w:rFonts w:hint="eastAsia" w:ascii="仿宋_GB2312" w:hAnsi="华文仿宋" w:eastAsia="仿宋_GB2312" w:cs="华文仿宋"/>
          <w:color w:val="auto"/>
          <w:sz w:val="32"/>
          <w:szCs w:val="32"/>
        </w:rPr>
        <w:t>岁以下婴幼儿托位数达到</w:t>
      </w:r>
      <w:r>
        <w:rPr>
          <w:rFonts w:ascii="仿宋_GB2312" w:hAnsi="华文仿宋" w:eastAsia="仿宋_GB2312" w:cs="华文仿宋"/>
          <w:color w:val="auto"/>
          <w:sz w:val="32"/>
          <w:szCs w:val="32"/>
        </w:rPr>
        <w:t>5</w:t>
      </w:r>
      <w:r>
        <w:rPr>
          <w:rFonts w:hint="eastAsia" w:ascii="仿宋_GB2312" w:hAnsi="华文仿宋" w:eastAsia="仿宋_GB2312" w:cs="华文仿宋"/>
          <w:color w:val="auto"/>
          <w:sz w:val="32"/>
          <w:szCs w:val="32"/>
        </w:rPr>
        <w:t>个。</w:t>
      </w:r>
    </w:p>
    <w:p>
      <w:pPr>
        <w:widowControl/>
        <w:spacing w:line="580" w:lineRule="exact"/>
        <w:ind w:firstLine="643" w:firstLineChars="200"/>
        <w:jc w:val="left"/>
        <w:rPr>
          <w:rFonts w:ascii="仿宋_GB2312" w:hAnsi="华文仿宋" w:eastAsia="仿宋_GB2312" w:cs="华文仿宋"/>
          <w:color w:val="auto"/>
          <w:sz w:val="32"/>
          <w:szCs w:val="32"/>
        </w:rPr>
      </w:pPr>
      <w:r>
        <w:rPr>
          <w:rFonts w:hint="eastAsia" w:ascii="仿宋_GB2312" w:hAnsi="Times New Roman" w:eastAsia="仿宋_GB2312"/>
          <w:b/>
          <w:bCs/>
          <w:color w:val="auto"/>
          <w:sz w:val="32"/>
          <w:szCs w:val="32"/>
        </w:rPr>
        <w:t>完善养老服务体系。</w:t>
      </w:r>
      <w:r>
        <w:rPr>
          <w:rFonts w:hint="eastAsia" w:ascii="仿宋_GB2312" w:hAnsi="华文仿宋" w:eastAsia="仿宋_GB2312" w:cs="华文仿宋"/>
          <w:color w:val="auto"/>
          <w:sz w:val="32"/>
          <w:szCs w:val="32"/>
        </w:rPr>
        <w:t>健全多层次养老服务体系，在街道层面建设区域养老服务中心（机构），在社区层面建立嵌入式养老服务机构或日间照料中心，打造“一刻钟”居家养老服务圈。加快推进医养结合，深化医疗机构与养老机构协作发展，根据老年人健康状况，推动在居家、社区、机构之间接续养老。加强农村养老服务设施建设，健全县、乡、村衔接的三级养老服务网络。加快发展智慧养老服务，支持社会企业和专业机构运用互联网和物联网等技术，创新发展个性化健康管理、互联网健康咨询等养老服务模式。积极发展银发经济，培育一批带动力强的养老服务龙头企业，支持我市康复设备企业建设老年用品产业园区，带动适老产品供给和适老产业发展。</w:t>
      </w:r>
    </w:p>
    <w:p>
      <w:pPr>
        <w:pStyle w:val="12"/>
        <w:widowControl/>
        <w:spacing w:line="580" w:lineRule="exact"/>
        <w:ind w:firstLine="643" w:firstLineChars="200"/>
        <w:jc w:val="both"/>
        <w:rPr>
          <w:rFonts w:ascii="仿宋_GB2312" w:hAnsi="华文仿宋" w:eastAsia="仿宋_GB2312" w:cs="华文仿宋"/>
          <w:color w:val="auto"/>
          <w:kern w:val="2"/>
          <w:sz w:val="32"/>
          <w:szCs w:val="32"/>
        </w:rPr>
      </w:pPr>
      <w:r>
        <w:rPr>
          <w:rFonts w:hint="eastAsia" w:ascii="仿宋_GB2312" w:hAnsi="方正仿宋_GBK" w:eastAsia="仿宋_GB2312" w:cs="方正仿宋_GBK"/>
          <w:b/>
          <w:bCs/>
          <w:color w:val="auto"/>
          <w:kern w:val="2"/>
          <w:sz w:val="32"/>
          <w:szCs w:val="32"/>
        </w:rPr>
        <w:t>增强</w:t>
      </w:r>
      <w:bookmarkStart w:id="35" w:name="_Hlk86766515"/>
      <w:r>
        <w:rPr>
          <w:rFonts w:hint="eastAsia" w:ascii="仿宋_GB2312" w:hAnsi="方正仿宋_GBK" w:eastAsia="仿宋_GB2312" w:cs="方正仿宋_GBK"/>
          <w:b/>
          <w:bCs/>
          <w:color w:val="auto"/>
          <w:kern w:val="2"/>
          <w:sz w:val="32"/>
          <w:szCs w:val="32"/>
        </w:rPr>
        <w:t>育幼</w:t>
      </w:r>
      <w:bookmarkEnd w:id="35"/>
      <w:r>
        <w:rPr>
          <w:rFonts w:hint="eastAsia" w:ascii="仿宋_GB2312" w:hAnsi="方正仿宋_GBK" w:eastAsia="仿宋_GB2312" w:cs="方正仿宋_GBK"/>
          <w:b/>
          <w:bCs/>
          <w:color w:val="auto"/>
          <w:kern w:val="2"/>
          <w:sz w:val="32"/>
          <w:szCs w:val="32"/>
        </w:rPr>
        <w:t>服务能力。</w:t>
      </w:r>
      <w:r>
        <w:rPr>
          <w:rFonts w:hint="eastAsia" w:ascii="仿宋_GB2312" w:hAnsi="华文仿宋" w:eastAsia="仿宋_GB2312" w:cs="华文仿宋"/>
          <w:color w:val="auto"/>
          <w:kern w:val="2"/>
          <w:sz w:val="32"/>
          <w:szCs w:val="32"/>
        </w:rPr>
        <w:t>落实国家生育政策，发展普惠托育服务体系，鼓励依托社区、幼儿园、妇幼保健机构等新建和改扩建嵌入式、分布式、连锁化、专业化的托育服务设施，提供全日托、半日托、计时托、临时托等多样化的托育服务。支持企事业单位等社会力量举办托育服务机构，支持公办机构发展普惠托育服务，鼓励幼儿园发展托幼一体化服务。支持引入品牌企业发展集中运营的社区嵌入式服务网点，以市场化手段不断提升育幼服务质量和水平，推进育幼品牌化、连锁化发展。</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方正仿宋_GBK" w:eastAsia="仿宋_GB2312" w:cs="方正仿宋_GBK"/>
          <w:b/>
          <w:bCs/>
          <w:color w:val="auto"/>
          <w:sz w:val="32"/>
          <w:szCs w:val="32"/>
        </w:rPr>
        <w:t>加强服务规范和行业监管。</w:t>
      </w:r>
      <w:r>
        <w:rPr>
          <w:rFonts w:hint="eastAsia" w:ascii="仿宋_GB2312" w:hAnsi="华文仿宋" w:eastAsia="仿宋_GB2312" w:cs="华文仿宋"/>
          <w:color w:val="auto"/>
          <w:sz w:val="32"/>
          <w:szCs w:val="32"/>
        </w:rPr>
        <w:t>完善养老育幼服务综合监管体系，以从业机构质量安全、从业人员、运营秩序等方面为重点加强监管，切实防范各类风险。实施养老机构星级评定工作，开展示范性托育机构建设，推进养老育幼服务规范化发展。加大养老托育从业人员的培训力度，开展岗前培训，有针对性的开展订单式培训。</w:t>
      </w:r>
    </w:p>
    <w:tbl>
      <w:tblPr>
        <w:tblStyle w:val="16"/>
        <w:tblW w:w="86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681" w:type="dxa"/>
            <w:tcBorders>
              <w:top w:val="single" w:color="auto" w:sz="8" w:space="0"/>
            </w:tcBorders>
          </w:tcPr>
          <w:p>
            <w:pPr>
              <w:spacing w:line="520" w:lineRule="exact"/>
              <w:jc w:val="center"/>
              <w:rPr>
                <w:rFonts w:ascii="黑体" w:hAnsi="黑体" w:eastAsia="黑体"/>
                <w:color w:val="auto"/>
                <w:kern w:val="0"/>
                <w:sz w:val="24"/>
                <w:szCs w:val="24"/>
              </w:rPr>
            </w:pPr>
            <w:bookmarkStart w:id="36" w:name="_Hlk73716037"/>
            <w:r>
              <w:rPr>
                <w:rFonts w:hint="eastAsia" w:ascii="黑体" w:hAnsi="黑体" w:eastAsia="黑体"/>
                <w:color w:val="auto"/>
                <w:kern w:val="0"/>
                <w:sz w:val="24"/>
                <w:szCs w:val="24"/>
              </w:rPr>
              <w:t>专栏</w:t>
            </w:r>
            <w:r>
              <w:rPr>
                <w:rFonts w:ascii="黑体" w:hAnsi="黑体" w:eastAsia="黑体"/>
                <w:color w:val="auto"/>
                <w:kern w:val="0"/>
                <w:sz w:val="24"/>
                <w:szCs w:val="24"/>
              </w:rPr>
              <w:t xml:space="preserve">3.14  </w:t>
            </w:r>
            <w:r>
              <w:rPr>
                <w:rFonts w:hint="eastAsia" w:ascii="黑体" w:hAnsi="黑体" w:eastAsia="黑体"/>
                <w:color w:val="auto"/>
                <w:kern w:val="0"/>
                <w:sz w:val="24"/>
                <w:szCs w:val="24"/>
              </w:rPr>
              <w:t>养老育幼发展支撑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681" w:type="dxa"/>
            <w:tcBorders>
              <w:bottom w:val="single" w:color="auto" w:sz="8" w:space="0"/>
            </w:tcBorders>
          </w:tcPr>
          <w:p>
            <w:pPr>
              <w:pStyle w:val="13"/>
              <w:spacing w:before="0" w:beforeAutospacing="0" w:after="0" w:afterAutospacing="0" w:line="500" w:lineRule="exact"/>
              <w:ind w:firstLine="482" w:firstLineChars="200"/>
              <w:jc w:val="both"/>
              <w:textAlignment w:val="top"/>
              <w:rPr>
                <w:rFonts w:hint="default" w:ascii="宋体"/>
                <w:color w:val="auto"/>
                <w:lang w:val="en"/>
              </w:rPr>
            </w:pPr>
            <w:r>
              <w:rPr>
                <w:rFonts w:hint="eastAsia" w:ascii="宋体" w:hAnsi="宋体" w:cs="宋体"/>
                <w:b/>
                <w:bCs/>
                <w:color w:val="auto"/>
              </w:rPr>
              <w:t>社区养老服务。</w:t>
            </w:r>
            <w:r>
              <w:rPr>
                <w:rFonts w:hint="eastAsia" w:ascii="宋体" w:hAnsi="宋体" w:cs="宋体"/>
                <w:color w:val="auto"/>
              </w:rPr>
              <w:t>加快推进每个街道建设具备全托、日托、上门服务、对下指导等综合功能的综合养老服务中心，支持社区建设兼具全托、日托、助餐、助洁、助浴、助护等服务的日间照料机构，创建一批老年友好型社区。</w:t>
            </w:r>
            <w:r>
              <w:rPr>
                <w:rFonts w:hint="eastAsia" w:ascii="宋体" w:eastAsia="宋体"/>
                <w:color w:val="auto"/>
              </w:rPr>
              <w:t>到2025年，新建</w:t>
            </w:r>
            <w:r>
              <w:rPr>
                <w:rFonts w:hint="eastAsia" w:ascii="宋体" w:eastAsia="宋体"/>
                <w:color w:val="auto"/>
                <w:lang w:val="en-US"/>
              </w:rPr>
              <w:t>43</w:t>
            </w:r>
            <w:r>
              <w:rPr>
                <w:rFonts w:hint="eastAsia" w:ascii="宋体" w:eastAsia="宋体"/>
                <w:color w:val="auto"/>
              </w:rPr>
              <w:t>个城镇街道综合性养老服务中心、</w:t>
            </w:r>
            <w:r>
              <w:rPr>
                <w:rFonts w:hint="eastAsia" w:ascii="宋体" w:eastAsia="宋体"/>
                <w:color w:val="auto"/>
                <w:lang w:val="en-US"/>
              </w:rPr>
              <w:t>新建218个城市老年人日间照料中心</w:t>
            </w:r>
            <w:r>
              <w:rPr>
                <w:rFonts w:hint="eastAsia" w:ascii="宋体" w:eastAsia="宋体"/>
                <w:color w:val="auto"/>
                <w:lang w:val="en-US" w:eastAsia="zh-CN"/>
              </w:rPr>
              <w:t>，</w:t>
            </w:r>
            <w:r>
              <w:rPr>
                <w:rFonts w:hint="eastAsia" w:ascii="宋体"/>
                <w:color w:val="auto"/>
              </w:rPr>
              <w:t>“</w:t>
            </w:r>
            <w:r>
              <w:rPr>
                <w:rFonts w:hint="eastAsia" w:ascii="宋体" w:hAnsi="宋体" w:cs="宋体"/>
                <w:color w:val="auto"/>
              </w:rPr>
              <w:t>一刻钟</w:t>
            </w:r>
            <w:r>
              <w:rPr>
                <w:rFonts w:hint="eastAsia" w:ascii="宋体"/>
                <w:color w:val="auto"/>
              </w:rPr>
              <w:t>”</w:t>
            </w:r>
            <w:r>
              <w:rPr>
                <w:rFonts w:hint="eastAsia" w:ascii="宋体" w:hAnsi="宋体" w:cs="宋体"/>
                <w:color w:val="auto"/>
              </w:rPr>
              <w:t>居家养老服务圈逐步完善。</w:t>
            </w:r>
          </w:p>
          <w:p>
            <w:pPr>
              <w:widowControl/>
              <w:autoSpaceDE w:val="0"/>
              <w:spacing w:line="500" w:lineRule="exact"/>
              <w:ind w:firstLine="497"/>
              <w:textAlignment w:val="baseline"/>
              <w:rPr>
                <w:rFonts w:ascii="宋体" w:cs="??"/>
                <w:color w:val="auto"/>
                <w:kern w:val="0"/>
                <w:sz w:val="24"/>
                <w:szCs w:val="24"/>
              </w:rPr>
            </w:pPr>
            <w:r>
              <w:rPr>
                <w:rFonts w:hint="eastAsia" w:ascii="宋体" w:hAnsi="宋体" w:cs="宋体"/>
                <w:b/>
                <w:bCs/>
                <w:color w:val="auto"/>
                <w:kern w:val="0"/>
                <w:sz w:val="24"/>
                <w:szCs w:val="24"/>
              </w:rPr>
              <w:t>医养融合发展。</w:t>
            </w:r>
            <w:r>
              <w:rPr>
                <w:rFonts w:hint="eastAsia" w:ascii="宋体" w:hAnsi="宋体" w:cs="宋体"/>
                <w:color w:val="auto"/>
                <w:kern w:val="0"/>
                <w:sz w:val="24"/>
                <w:szCs w:val="24"/>
              </w:rPr>
              <w:t>推进社区卫生服务中心与社区养老服务机构、乡镇卫生院与特困人员供养服务设施</w:t>
            </w:r>
            <w:r>
              <w:rPr>
                <w:rFonts w:ascii="宋体" w:hAnsi="宋体" w:cs="??"/>
                <w:color w:val="auto"/>
                <w:kern w:val="0"/>
                <w:sz w:val="24"/>
                <w:szCs w:val="24"/>
              </w:rPr>
              <w:t>(</w:t>
            </w:r>
            <w:r>
              <w:rPr>
                <w:rFonts w:hint="eastAsia" w:ascii="宋体" w:hAnsi="宋体" w:cs="宋体"/>
                <w:color w:val="auto"/>
                <w:kern w:val="0"/>
                <w:sz w:val="24"/>
                <w:szCs w:val="24"/>
              </w:rPr>
              <w:t>敬老院</w:t>
            </w:r>
            <w:r>
              <w:rPr>
                <w:rFonts w:ascii="宋体" w:hAnsi="宋体" w:cs="??"/>
                <w:color w:val="auto"/>
                <w:kern w:val="0"/>
                <w:sz w:val="24"/>
                <w:szCs w:val="24"/>
              </w:rPr>
              <w:t>)</w:t>
            </w:r>
            <w:r>
              <w:rPr>
                <w:rFonts w:hint="eastAsia" w:ascii="宋体" w:hAnsi="宋体" w:cs="宋体"/>
                <w:color w:val="auto"/>
                <w:kern w:val="0"/>
                <w:sz w:val="24"/>
                <w:szCs w:val="24"/>
              </w:rPr>
              <w:t>、村卫生室与农村幸福院资源整合、服务衔接。到</w:t>
            </w:r>
            <w:r>
              <w:rPr>
                <w:rFonts w:ascii="宋体" w:hAnsi="宋体" w:cs="华文仿宋"/>
                <w:color w:val="auto"/>
                <w:kern w:val="0"/>
                <w:sz w:val="24"/>
                <w:szCs w:val="24"/>
              </w:rPr>
              <w:t>2025</w:t>
            </w:r>
            <w:r>
              <w:rPr>
                <w:rFonts w:hint="eastAsia" w:ascii="宋体" w:hAnsi="宋体" w:cs="宋体"/>
                <w:color w:val="auto"/>
                <w:kern w:val="0"/>
                <w:sz w:val="24"/>
                <w:szCs w:val="24"/>
              </w:rPr>
              <w:t>年，养老机构普遍具备医养结合能力，培育一批示范性项目。</w:t>
            </w:r>
          </w:p>
          <w:p>
            <w:pPr>
              <w:widowControl/>
              <w:autoSpaceDE w:val="0"/>
              <w:spacing w:line="500" w:lineRule="exact"/>
              <w:ind w:firstLine="497"/>
              <w:textAlignment w:val="baseline"/>
              <w:rPr>
                <w:rFonts w:ascii="宋体"/>
                <w:b/>
                <w:bCs/>
                <w:color w:val="auto"/>
              </w:rPr>
            </w:pPr>
            <w:r>
              <w:rPr>
                <w:rFonts w:hint="eastAsia" w:ascii="宋体" w:hAnsi="宋体" w:cs="宋体"/>
                <w:b/>
                <w:bCs/>
                <w:color w:val="auto"/>
                <w:kern w:val="0"/>
                <w:sz w:val="24"/>
                <w:szCs w:val="24"/>
              </w:rPr>
              <w:t>农村养老服务。</w:t>
            </w:r>
            <w:r>
              <w:rPr>
                <w:rFonts w:hint="eastAsia" w:ascii="宋体" w:hAnsi="宋体" w:cs="宋体"/>
                <w:color w:val="auto"/>
                <w:kern w:val="0"/>
                <w:sz w:val="24"/>
                <w:szCs w:val="24"/>
              </w:rPr>
              <w:t>优化拓展特困人员供养服务设施（敬老院）功能，重点向农村高龄、失能等老年人提供养老服务，依托村级幸福院等机构，开展多样化、有针对性的互助养老服务。</w:t>
            </w:r>
          </w:p>
          <w:p>
            <w:pPr>
              <w:widowControl/>
              <w:spacing w:line="500" w:lineRule="exact"/>
              <w:ind w:firstLine="482" w:firstLineChars="200"/>
              <w:rPr>
                <w:rFonts w:ascii="Times New Roman" w:hAnsi="Times New Roman" w:eastAsia="仿宋"/>
                <w:b/>
                <w:bCs/>
                <w:color w:val="auto"/>
                <w:kern w:val="0"/>
                <w:sz w:val="24"/>
                <w:szCs w:val="24"/>
              </w:rPr>
            </w:pPr>
            <w:r>
              <w:rPr>
                <w:rFonts w:hint="eastAsia" w:ascii="宋体" w:hAnsi="宋体" w:cs="宋体"/>
                <w:b/>
                <w:bCs/>
                <w:color w:val="auto"/>
                <w:kern w:val="0"/>
                <w:sz w:val="24"/>
                <w:szCs w:val="24"/>
              </w:rPr>
              <w:t>育幼服务。</w:t>
            </w:r>
            <w:r>
              <w:rPr>
                <w:rFonts w:hint="eastAsia" w:ascii="宋体" w:hAnsi="宋体" w:cs="宋体"/>
                <w:color w:val="auto"/>
                <w:kern w:val="0"/>
                <w:sz w:val="24"/>
                <w:szCs w:val="24"/>
              </w:rPr>
              <w:t>推进示范性托育机构建设，积极创建全国婴幼儿照护服务示范市。到</w:t>
            </w:r>
            <w:r>
              <w:rPr>
                <w:rFonts w:ascii="宋体" w:hAnsi="宋体" w:cs="华文仿宋"/>
                <w:color w:val="auto"/>
                <w:kern w:val="0"/>
                <w:sz w:val="24"/>
                <w:szCs w:val="24"/>
              </w:rPr>
              <w:t>2025</w:t>
            </w:r>
            <w:r>
              <w:rPr>
                <w:rFonts w:hint="eastAsia" w:ascii="宋体" w:hAnsi="宋体" w:cs="宋体"/>
                <w:color w:val="auto"/>
                <w:kern w:val="0"/>
                <w:sz w:val="24"/>
                <w:szCs w:val="24"/>
              </w:rPr>
              <w:t>年，每个城市社区建成</w:t>
            </w:r>
            <w:r>
              <w:rPr>
                <w:rFonts w:ascii="宋体" w:hAnsi="宋体" w:cs="华文仿宋"/>
                <w:color w:val="auto"/>
                <w:kern w:val="0"/>
                <w:sz w:val="24"/>
                <w:szCs w:val="24"/>
              </w:rPr>
              <w:t>1</w:t>
            </w:r>
            <w:r>
              <w:rPr>
                <w:rFonts w:hint="eastAsia" w:ascii="宋体" w:hAnsi="宋体" w:cs="宋体"/>
                <w:color w:val="auto"/>
                <w:kern w:val="0"/>
                <w:sz w:val="24"/>
                <w:szCs w:val="24"/>
              </w:rPr>
              <w:t>家以上托育服务机构，全市婴幼儿托位数达到</w:t>
            </w:r>
            <w:r>
              <w:rPr>
                <w:rFonts w:ascii="宋体" w:hAnsi="宋体" w:cs="华文仿宋"/>
                <w:color w:val="auto"/>
                <w:kern w:val="0"/>
                <w:sz w:val="24"/>
                <w:szCs w:val="24"/>
              </w:rPr>
              <w:t>2</w:t>
            </w:r>
            <w:r>
              <w:rPr>
                <w:rFonts w:hint="eastAsia" w:ascii="宋体" w:hAnsi="宋体" w:cs="宋体"/>
                <w:color w:val="auto"/>
                <w:kern w:val="0"/>
                <w:sz w:val="24"/>
                <w:szCs w:val="24"/>
              </w:rPr>
              <w:t>万个以上。</w:t>
            </w:r>
          </w:p>
        </w:tc>
      </w:tr>
      <w:bookmarkEnd w:id="36"/>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、教育培训</w:t>
      </w:r>
    </w:p>
    <w:p>
      <w:pPr>
        <w:pStyle w:val="1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640" w:firstLineChars="200"/>
        <w:textAlignment w:val="top"/>
        <w:rPr>
          <w:rFonts w:hint="default" w:ascii="仿宋_GB2312" w:hAnsi="华文仿宋" w:eastAsia="仿宋_GB2312" w:cs="华文仿宋"/>
          <w:color w:val="auto"/>
          <w:kern w:val="2"/>
          <w:sz w:val="32"/>
          <w:szCs w:val="32"/>
          <w:lang w:val="en-US" w:eastAsia="zh-CN" w:bidi="ar-SA"/>
        </w:rPr>
      </w:pPr>
      <w:r>
        <w:rPr>
          <w:rFonts w:hint="eastAsia" w:ascii="仿宋_GB2312" w:hAnsi="华文仿宋" w:eastAsia="仿宋_GB2312" w:cs="华文仿宋"/>
          <w:color w:val="auto"/>
          <w:kern w:val="2"/>
          <w:sz w:val="32"/>
          <w:szCs w:val="32"/>
          <w:lang w:val="en-US" w:eastAsia="zh-CN" w:bidi="ar-SA"/>
        </w:rPr>
        <w:t>依托我市教育资源，围绕产业发展和社会需求，完善职教体系，深化产教融合、校企合作，着力打造职业教育创新发展高地，推动技能型社会建设。到2025年，中等职业教育在校生达到6.5万人，</w:t>
      </w:r>
      <w:r>
        <w:rPr>
          <w:rFonts w:hint="eastAsia" w:ascii="仿宋_GB2312" w:hAnsi="华文仿宋" w:eastAsia="仿宋_GB2312" w:cs="华文仿宋"/>
          <w:color w:val="auto"/>
          <w:sz w:val="32"/>
          <w:szCs w:val="32"/>
        </w:rPr>
        <w:t>“</w:t>
      </w:r>
      <w:r>
        <w:rPr>
          <w:rFonts w:ascii="仿宋_GB2312" w:hAnsi="华文仿宋" w:eastAsia="仿宋_GB2312" w:cs="华文仿宋"/>
          <w:color w:val="auto"/>
          <w:sz w:val="32"/>
          <w:szCs w:val="32"/>
        </w:rPr>
        <w:t>1+X</w:t>
      </w:r>
      <w:r>
        <w:rPr>
          <w:rFonts w:hint="eastAsia" w:ascii="仿宋_GB2312" w:hAnsi="华文仿宋" w:eastAsia="仿宋_GB2312" w:cs="华文仿宋"/>
          <w:color w:val="auto"/>
          <w:sz w:val="32"/>
          <w:szCs w:val="32"/>
        </w:rPr>
        <w:t>”证书</w:t>
      </w:r>
      <w:r>
        <w:rPr>
          <w:rFonts w:hint="eastAsia" w:ascii="仿宋_GB2312" w:hAnsi="华文仿宋" w:eastAsia="仿宋_GB2312" w:cs="华文仿宋"/>
          <w:color w:val="auto"/>
          <w:sz w:val="32"/>
          <w:szCs w:val="32"/>
          <w:lang w:eastAsia="zh-CN"/>
        </w:rPr>
        <w:t>专业覆盖率达到</w:t>
      </w:r>
      <w:r>
        <w:rPr>
          <w:rFonts w:hint="eastAsia" w:ascii="仿宋_GB2312" w:hAnsi="华文仿宋" w:eastAsia="仿宋_GB2312" w:cs="华文仿宋"/>
          <w:color w:val="auto"/>
          <w:sz w:val="32"/>
          <w:szCs w:val="32"/>
          <w:lang w:val="en-US" w:eastAsia="zh-CN"/>
        </w:rPr>
        <w:t>100%。</w:t>
      </w:r>
    </w:p>
    <w:p>
      <w:pPr>
        <w:spacing w:line="580" w:lineRule="exact"/>
        <w:ind w:firstLine="643" w:firstLineChars="200"/>
        <w:rPr>
          <w:rFonts w:hint="eastAsia" w:ascii="仿宋_GB2312" w:hAnsi="华文仿宋" w:eastAsia="仿宋_GB2312" w:cs="华文仿宋"/>
          <w:b w:val="0"/>
          <w:bCs w:val="0"/>
          <w:color w:val="auto"/>
          <w:kern w:val="2"/>
          <w:sz w:val="32"/>
          <w:szCs w:val="32"/>
          <w:lang w:val="en-US" w:eastAsia="zh-CN" w:bidi="ar-SA"/>
        </w:rPr>
      </w:pPr>
      <w:r>
        <w:rPr>
          <w:rFonts w:hint="eastAsia" w:ascii="仿宋" w:hAnsi="仿宋" w:eastAsia="仿宋" w:cs="宋体"/>
          <w:b/>
          <w:bCs/>
          <w:color w:val="auto"/>
          <w:sz w:val="32"/>
          <w:szCs w:val="32"/>
        </w:rPr>
        <w:t>增强职业教育适应性</w:t>
      </w:r>
      <w:r>
        <w:rPr>
          <w:rFonts w:hint="eastAsia" w:ascii="仿宋_GB2312" w:hAnsi="方正仿宋_GBK" w:eastAsia="仿宋_GB2312" w:cs="方正仿宋_GBK"/>
          <w:b/>
          <w:bCs/>
          <w:color w:val="auto"/>
          <w:sz w:val="32"/>
          <w:szCs w:val="32"/>
        </w:rPr>
        <w:t>。</w:t>
      </w:r>
      <w:r>
        <w:rPr>
          <w:rFonts w:hint="eastAsia" w:ascii="仿宋_GB2312" w:hAnsi="华文仿宋" w:eastAsia="仿宋_GB2312" w:cs="华文仿宋"/>
          <w:b w:val="0"/>
          <w:bCs w:val="0"/>
          <w:color w:val="auto"/>
          <w:kern w:val="2"/>
          <w:sz w:val="32"/>
          <w:szCs w:val="32"/>
          <w:lang w:val="en-US" w:eastAsia="zh-CN" w:bidi="ar-SA"/>
        </w:rPr>
        <w:t>深化职业教育改革，引导全市职业院校适应我市产业发展需要调整专业设置和布局，建设特色专业，提升专业发展水平，加大物流、金融、通航、电商、家政等人才培养力度。着力建设一批高水平中等职业学校，推动中等职业学校基本办学条件达到标准。支持组建特色职业教育集团，扩大中高职贯通培养规模。</w:t>
      </w:r>
      <w:r>
        <w:rPr>
          <w:rFonts w:hint="eastAsia" w:ascii="仿宋" w:hAnsi="仿宋" w:eastAsia="仿宋" w:cs="宋体"/>
          <w:color w:val="auto"/>
          <w:sz w:val="32"/>
          <w:szCs w:val="32"/>
        </w:rPr>
        <w:t>努力发展本科层次职业教育，</w:t>
      </w:r>
      <w:r>
        <w:rPr>
          <w:rFonts w:hint="eastAsia" w:ascii="仿宋_GB2312" w:hAnsi="华文仿宋" w:eastAsia="仿宋_GB2312" w:cs="华文仿宋"/>
          <w:color w:val="auto"/>
          <w:sz w:val="32"/>
          <w:szCs w:val="32"/>
        </w:rPr>
        <w:t>积极支持高职院校升本工作。</w:t>
      </w:r>
      <w:r>
        <w:rPr>
          <w:rFonts w:hint="eastAsia" w:ascii="仿宋_GB2312" w:hAnsi="华文仿宋" w:eastAsia="仿宋_GB2312" w:cs="华文仿宋"/>
          <w:b w:val="0"/>
          <w:bCs w:val="0"/>
          <w:color w:val="auto"/>
          <w:kern w:val="2"/>
          <w:sz w:val="32"/>
          <w:szCs w:val="32"/>
          <w:lang w:val="en-US" w:eastAsia="zh-CN" w:bidi="ar-SA"/>
        </w:rPr>
        <w:t>大力发展农村职业教育，培养新型农村实用人才。落实“职教高考”制度，完善“文化素质+职业技能”的考试招生办法。</w:t>
      </w:r>
    </w:p>
    <w:p>
      <w:pPr>
        <w:spacing w:line="580" w:lineRule="exact"/>
        <w:ind w:firstLine="643" w:firstLineChars="200"/>
        <w:rPr>
          <w:rFonts w:hint="eastAsia" w:ascii="仿宋_GB2312" w:hAnsi="华文仿宋" w:eastAsia="仿宋_GB2312" w:cs="华文仿宋"/>
          <w:color w:val="auto"/>
          <w:sz w:val="32"/>
          <w:szCs w:val="32"/>
          <w:lang w:eastAsia="zh-CN"/>
        </w:rPr>
      </w:pPr>
      <w:r>
        <w:rPr>
          <w:rFonts w:hint="eastAsia" w:ascii="仿宋_GB2312" w:hAnsi="Times New Roman" w:eastAsia="仿宋_GB2312"/>
          <w:b/>
          <w:color w:val="auto"/>
          <w:sz w:val="32"/>
          <w:szCs w:val="32"/>
          <w:lang w:eastAsia="zh-CN"/>
        </w:rPr>
        <w:t>深入推进产教</w:t>
      </w:r>
      <w:r>
        <w:rPr>
          <w:rFonts w:hint="eastAsia" w:ascii="仿宋_GB2312" w:hAnsi="Times New Roman" w:eastAsia="仿宋_GB2312"/>
          <w:b/>
          <w:color w:val="auto"/>
          <w:sz w:val="32"/>
          <w:szCs w:val="32"/>
        </w:rPr>
        <w:t>融合发展。</w:t>
      </w:r>
      <w:r>
        <w:rPr>
          <w:rFonts w:hint="eastAsia" w:ascii="仿宋" w:hAnsi="仿宋" w:eastAsia="仿宋" w:cs="宋体"/>
          <w:color w:val="auto"/>
          <w:sz w:val="32"/>
          <w:szCs w:val="32"/>
        </w:rPr>
        <w:t>实施产教融合发展行动计划，深化产教融合、校企合作，</w:t>
      </w:r>
      <w:r>
        <w:rPr>
          <w:rFonts w:hint="eastAsia" w:ascii="仿宋_GB2312" w:hAnsi="华文仿宋" w:eastAsia="仿宋_GB2312" w:cs="华文仿宋"/>
          <w:color w:val="auto"/>
          <w:sz w:val="32"/>
          <w:szCs w:val="32"/>
        </w:rPr>
        <w:t>促进校企“双元”育人</w:t>
      </w:r>
      <w:r>
        <w:rPr>
          <w:rFonts w:hint="eastAsia" w:ascii="仿宋" w:hAnsi="仿宋" w:eastAsia="仿宋" w:cs="宋体"/>
          <w:color w:val="auto"/>
          <w:sz w:val="32"/>
          <w:szCs w:val="32"/>
        </w:rPr>
        <w:t>，建设一批产教融合园区、产教融合实训基地和产业学院</w:t>
      </w:r>
      <w:r>
        <w:rPr>
          <w:rFonts w:hint="eastAsia" w:ascii="仿宋_GB2312" w:hAnsi="华文仿宋" w:eastAsia="仿宋_GB2312" w:cs="华文仿宋"/>
          <w:color w:val="auto"/>
          <w:sz w:val="32"/>
          <w:szCs w:val="32"/>
        </w:rPr>
        <w:t>，培养大批高素质劳动者和技术技能人才，</w:t>
      </w:r>
      <w:r>
        <w:rPr>
          <w:rFonts w:hint="eastAsia" w:ascii="仿宋" w:hAnsi="仿宋" w:eastAsia="仿宋" w:cs="宋体"/>
          <w:color w:val="auto"/>
          <w:sz w:val="32"/>
          <w:szCs w:val="32"/>
        </w:rPr>
        <w:t>力争建设省级产教融合型城市</w:t>
      </w:r>
      <w:r>
        <w:rPr>
          <w:rFonts w:hint="eastAsia" w:ascii="仿宋_GB2312" w:hAnsi="华文仿宋" w:eastAsia="仿宋_GB2312" w:cs="华文仿宋"/>
          <w:color w:val="auto"/>
          <w:sz w:val="32"/>
          <w:szCs w:val="32"/>
        </w:rPr>
        <w:t>。</w:t>
      </w:r>
      <w:r>
        <w:rPr>
          <w:rFonts w:hint="eastAsia" w:ascii="仿宋_GB2312" w:hAnsi="华文仿宋" w:eastAsia="仿宋_GB2312" w:cs="华文仿宋"/>
          <w:b w:val="0"/>
          <w:bCs w:val="0"/>
          <w:color w:val="auto"/>
          <w:kern w:val="2"/>
          <w:sz w:val="32"/>
          <w:szCs w:val="32"/>
          <w:lang w:val="en-US" w:eastAsia="zh-CN" w:bidi="ar-SA"/>
        </w:rPr>
        <w:t>支持社会力量以股份制、混合所有制等形式举办或参与举办职业院校、二级学院和培训机构。</w:t>
      </w:r>
    </w:p>
    <w:p>
      <w:pPr>
        <w:spacing w:line="580" w:lineRule="exact"/>
        <w:ind w:firstLine="643" w:firstLineChars="200"/>
        <w:rPr>
          <w:rFonts w:hint="eastAsia" w:ascii="仿宋_GB2312" w:hAnsi="华文仿宋" w:eastAsia="仿宋_GB2312" w:cs="华文仿宋"/>
          <w:color w:val="auto"/>
          <w:sz w:val="32"/>
          <w:szCs w:val="32"/>
          <w:lang w:eastAsia="zh-CN"/>
        </w:rPr>
      </w:pPr>
      <w:r>
        <w:rPr>
          <w:rFonts w:hint="eastAsia" w:ascii="仿宋_GB2312" w:hAnsi="Times New Roman" w:eastAsia="仿宋_GB2312"/>
          <w:b/>
          <w:color w:val="auto"/>
          <w:sz w:val="32"/>
          <w:szCs w:val="32"/>
          <w:lang w:eastAsia="zh-CN"/>
        </w:rPr>
        <w:t>推动“技能安阳”建设。</w:t>
      </w:r>
      <w:r>
        <w:rPr>
          <w:rFonts w:hint="eastAsia" w:ascii="仿宋_GB2312" w:hAnsi="华文仿宋" w:eastAsia="仿宋_GB2312" w:cs="华文仿宋"/>
          <w:color w:val="auto"/>
          <w:sz w:val="32"/>
          <w:szCs w:val="32"/>
          <w:lang w:eastAsia="zh-CN"/>
        </w:rPr>
        <w:t>针对重点群体重点行业领域开展专项培训，推行</w:t>
      </w:r>
      <w:r>
        <w:rPr>
          <w:rFonts w:hint="eastAsia" w:ascii="仿宋_GB2312" w:hAnsi="华文仿宋" w:eastAsia="仿宋_GB2312" w:cs="华文仿宋"/>
          <w:color w:val="auto"/>
          <w:sz w:val="32"/>
          <w:szCs w:val="32"/>
        </w:rPr>
        <w:t>“</w:t>
      </w:r>
      <w:r>
        <w:rPr>
          <w:rFonts w:ascii="仿宋_GB2312" w:hAnsi="华文仿宋" w:eastAsia="仿宋_GB2312" w:cs="华文仿宋"/>
          <w:color w:val="auto"/>
          <w:sz w:val="32"/>
          <w:szCs w:val="32"/>
        </w:rPr>
        <w:t>1+X</w:t>
      </w:r>
      <w:r>
        <w:rPr>
          <w:rFonts w:hint="eastAsia" w:ascii="仿宋_GB2312" w:hAnsi="华文仿宋" w:eastAsia="仿宋_GB2312" w:cs="华文仿宋"/>
          <w:color w:val="auto"/>
          <w:sz w:val="32"/>
          <w:szCs w:val="32"/>
        </w:rPr>
        <w:t>”证书制度</w:t>
      </w:r>
      <w:r>
        <w:rPr>
          <w:rFonts w:hint="eastAsia" w:ascii="仿宋_GB2312" w:hAnsi="华文仿宋" w:eastAsia="仿宋_GB2312" w:cs="华文仿宋"/>
          <w:color w:val="auto"/>
          <w:sz w:val="32"/>
          <w:szCs w:val="32"/>
          <w:lang w:val="en" w:eastAsia="zh-CN"/>
        </w:rPr>
        <w:t>，</w:t>
      </w:r>
      <w:r>
        <w:rPr>
          <w:rFonts w:hint="eastAsia" w:ascii="仿宋_GB2312" w:hAnsi="华文仿宋" w:eastAsia="仿宋_GB2312" w:cs="华文仿宋"/>
          <w:color w:val="auto"/>
          <w:sz w:val="32"/>
          <w:szCs w:val="32"/>
          <w:lang w:eastAsia="zh-CN"/>
        </w:rPr>
        <w:t>提升职业技能等级证书“含金量”。</w:t>
      </w:r>
      <w:r>
        <w:rPr>
          <w:rFonts w:hint="eastAsia" w:ascii="仿宋" w:hAnsi="仿宋" w:eastAsia="仿宋" w:cs="宋体"/>
          <w:color w:val="auto"/>
          <w:sz w:val="32"/>
          <w:szCs w:val="32"/>
        </w:rPr>
        <w:t>探索建立工作岗位、课程体系、技能大赛、职业技能等级证书“岗课赛证”综合育人体系。</w:t>
      </w:r>
      <w:r>
        <w:rPr>
          <w:rFonts w:hint="eastAsia" w:ascii="仿宋_GB2312" w:hAnsi="华文仿宋" w:eastAsia="仿宋_GB2312" w:cs="华文仿宋"/>
          <w:color w:val="auto"/>
          <w:sz w:val="32"/>
          <w:szCs w:val="32"/>
          <w:lang w:val="en" w:eastAsia="zh-CN"/>
        </w:rPr>
        <w:t>完善技术技能人才职称评审与职务职级晋升制度，提高技术技能人才待遇，落实职业院校毕业生在职业发展方面与普通高校毕业生同等对待。</w:t>
      </w:r>
    </w:p>
    <w:tbl>
      <w:tblPr>
        <w:tblStyle w:val="16"/>
        <w:tblW w:w="86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681" w:type="dxa"/>
            <w:tcBorders>
              <w:top w:val="single" w:color="auto" w:sz="8" w:space="0"/>
            </w:tcBorders>
          </w:tcPr>
          <w:p>
            <w:pPr>
              <w:spacing w:line="520" w:lineRule="exact"/>
              <w:jc w:val="center"/>
              <w:rPr>
                <w:rFonts w:ascii="黑体" w:hAnsi="黑体" w:eastAsia="黑体"/>
                <w:color w:val="auto"/>
                <w:kern w:val="0"/>
                <w:sz w:val="24"/>
                <w:szCs w:val="24"/>
              </w:rPr>
            </w:pPr>
            <w:bookmarkStart w:id="37" w:name="_Hlk73716065"/>
            <w:r>
              <w:rPr>
                <w:rFonts w:hint="eastAsia" w:ascii="黑体" w:hAnsi="黑体" w:eastAsia="黑体"/>
                <w:color w:val="auto"/>
                <w:kern w:val="0"/>
                <w:sz w:val="24"/>
                <w:szCs w:val="24"/>
              </w:rPr>
              <w:t>专栏</w:t>
            </w:r>
            <w:r>
              <w:rPr>
                <w:rFonts w:ascii="黑体" w:hAnsi="黑体" w:eastAsia="黑体"/>
                <w:color w:val="auto"/>
                <w:kern w:val="0"/>
                <w:sz w:val="24"/>
                <w:szCs w:val="24"/>
              </w:rPr>
              <w:t xml:space="preserve">3.15  </w:t>
            </w:r>
            <w:r>
              <w:rPr>
                <w:rFonts w:hint="eastAsia" w:ascii="黑体" w:hAnsi="黑体" w:eastAsia="黑体"/>
                <w:color w:val="auto"/>
                <w:kern w:val="0"/>
                <w:sz w:val="24"/>
                <w:szCs w:val="24"/>
              </w:rPr>
              <w:t>教育培训发展支撑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3" w:hRule="atLeast"/>
          <w:jc w:val="center"/>
        </w:trPr>
        <w:tc>
          <w:tcPr>
            <w:tcW w:w="8681" w:type="dxa"/>
            <w:tcBorders>
              <w:bottom w:val="single" w:color="auto" w:sz="8" w:space="0"/>
            </w:tcBorders>
            <w:vAlign w:val="center"/>
          </w:tcPr>
          <w:p>
            <w:pPr>
              <w:spacing w:line="520" w:lineRule="exact"/>
              <w:ind w:firstLine="482" w:firstLineChars="200"/>
              <w:rPr>
                <w:rFonts w:ascii="宋体"/>
                <w:bCs/>
                <w:color w:val="auto"/>
                <w:kern w:val="0"/>
                <w:sz w:val="24"/>
                <w:szCs w:val="24"/>
              </w:rPr>
            </w:pPr>
            <w:r>
              <w:rPr>
                <w:rFonts w:hint="eastAsia" w:ascii="宋体" w:hAnsi="宋体" w:cs="宋体"/>
                <w:b/>
                <w:bCs/>
                <w:color w:val="auto"/>
                <w:kern w:val="0"/>
                <w:sz w:val="24"/>
                <w:szCs w:val="24"/>
              </w:rPr>
              <w:t>职业教育。</w:t>
            </w:r>
            <w:r>
              <w:rPr>
                <w:rFonts w:hint="eastAsia" w:ascii="宋体" w:hAnsi="宋体" w:cs="宋体"/>
                <w:color w:val="auto"/>
                <w:kern w:val="0"/>
                <w:sz w:val="24"/>
                <w:szCs w:val="24"/>
              </w:rPr>
              <w:t>健全人才与产业对接机制，支持学校和企业联合建设一批对接先进制造业、现代服务业的重点专业和产教融合型实训基地。加快建设安阳市职业教育园区、殷都区职业教育中心、滑县电商职业中专建设项目、汤阴县职业技术教育中心新校区、林州市职业技术教育中心新校区等项目。到</w:t>
            </w:r>
            <w:r>
              <w:rPr>
                <w:rFonts w:ascii="宋体" w:hAnsi="宋体" w:cs="宋体"/>
                <w:color w:val="auto"/>
                <w:kern w:val="0"/>
                <w:sz w:val="24"/>
                <w:szCs w:val="24"/>
              </w:rPr>
              <w:t>2025</w:t>
            </w:r>
            <w:r>
              <w:rPr>
                <w:rFonts w:hint="eastAsia" w:ascii="宋体" w:hAnsi="宋体" w:cs="宋体"/>
                <w:color w:val="auto"/>
                <w:kern w:val="0"/>
                <w:sz w:val="24"/>
                <w:szCs w:val="24"/>
              </w:rPr>
              <w:t>年，区域中等职业学校达到</w:t>
            </w:r>
            <w:r>
              <w:rPr>
                <w:rFonts w:ascii="宋体" w:hAnsi="宋体" w:cs="宋体"/>
                <w:color w:val="auto"/>
                <w:kern w:val="0"/>
                <w:sz w:val="24"/>
                <w:szCs w:val="24"/>
              </w:rPr>
              <w:t>11</w:t>
            </w:r>
            <w:r>
              <w:rPr>
                <w:rFonts w:hint="eastAsia" w:ascii="宋体" w:hAnsi="宋体" w:cs="宋体"/>
                <w:color w:val="auto"/>
                <w:kern w:val="0"/>
                <w:sz w:val="24"/>
                <w:szCs w:val="24"/>
              </w:rPr>
              <w:t>所，建好</w:t>
            </w:r>
            <w:r>
              <w:rPr>
                <w:rFonts w:ascii="宋体" w:hAnsi="宋体" w:cs="宋体"/>
                <w:color w:val="auto"/>
                <w:kern w:val="0"/>
                <w:sz w:val="24"/>
                <w:szCs w:val="24"/>
              </w:rPr>
              <w:t>3—5</w:t>
            </w:r>
            <w:r>
              <w:rPr>
                <w:rFonts w:hint="eastAsia" w:ascii="宋体" w:hAnsi="宋体" w:cs="宋体"/>
                <w:color w:val="auto"/>
                <w:kern w:val="0"/>
                <w:sz w:val="24"/>
                <w:szCs w:val="24"/>
              </w:rPr>
              <w:t>个高水平专业化产教融合实训基地。</w:t>
            </w:r>
          </w:p>
          <w:p>
            <w:pPr>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技能培训。</w:t>
            </w:r>
            <w:r>
              <w:rPr>
                <w:rFonts w:hint="eastAsia" w:ascii="宋体" w:hAnsi="宋体" w:cs="宋体"/>
                <w:bCs/>
                <w:color w:val="auto"/>
                <w:kern w:val="0"/>
                <w:sz w:val="24"/>
                <w:szCs w:val="24"/>
              </w:rPr>
              <w:t>高质量推进</w:t>
            </w:r>
            <w:r>
              <w:rPr>
                <w:rFonts w:hint="eastAsia" w:ascii="宋体"/>
                <w:bCs/>
                <w:color w:val="auto"/>
                <w:kern w:val="0"/>
                <w:sz w:val="24"/>
                <w:szCs w:val="24"/>
              </w:rPr>
              <w:t>“</w:t>
            </w:r>
            <w:r>
              <w:rPr>
                <w:rFonts w:hint="eastAsia" w:ascii="宋体" w:hAnsi="宋体" w:cs="宋体"/>
                <w:bCs/>
                <w:color w:val="auto"/>
                <w:kern w:val="0"/>
                <w:sz w:val="24"/>
                <w:szCs w:val="24"/>
              </w:rPr>
              <w:t>人人持证、技能河南</w:t>
            </w:r>
            <w:r>
              <w:rPr>
                <w:rFonts w:hint="eastAsia" w:ascii="宋体"/>
                <w:bCs/>
                <w:color w:val="auto"/>
                <w:kern w:val="0"/>
                <w:sz w:val="24"/>
                <w:szCs w:val="24"/>
              </w:rPr>
              <w:t>”</w:t>
            </w:r>
            <w:r>
              <w:rPr>
                <w:rFonts w:hint="eastAsia" w:ascii="宋体" w:hAnsi="宋体" w:cs="宋体"/>
                <w:bCs/>
                <w:color w:val="auto"/>
                <w:kern w:val="0"/>
                <w:sz w:val="24"/>
                <w:szCs w:val="24"/>
              </w:rPr>
              <w:t>工程，加强就业技能培训定点机构能力建设，持续实施全民技能振兴工程，深化技能人员职业资格制度改革，完善企业技能人才自主评价制度。</w:t>
            </w:r>
            <w:r>
              <w:rPr>
                <w:rFonts w:hint="eastAsia" w:ascii="宋体" w:hAnsi="宋体" w:cs="宋体"/>
                <w:bCs/>
                <w:color w:val="auto"/>
                <w:kern w:val="0"/>
                <w:sz w:val="24"/>
                <w:szCs w:val="24"/>
                <w:lang w:eastAsia="zh-CN"/>
              </w:rPr>
              <w:t>争取</w:t>
            </w:r>
            <w:r>
              <w:rPr>
                <w:rFonts w:hint="eastAsia" w:ascii="宋体" w:hAnsi="宋体" w:cs="宋体"/>
                <w:color w:val="auto"/>
                <w:kern w:val="0"/>
                <w:sz w:val="24"/>
                <w:szCs w:val="24"/>
              </w:rPr>
              <w:t>每年开展各类职业技能培训</w:t>
            </w:r>
            <w:r>
              <w:rPr>
                <w:rFonts w:hint="eastAsia" w:ascii="宋体" w:hAnsi="宋体" w:cs="宋体"/>
                <w:color w:val="auto"/>
                <w:kern w:val="0"/>
                <w:sz w:val="24"/>
                <w:szCs w:val="24"/>
                <w:lang w:eastAsia="zh-CN"/>
              </w:rPr>
              <w:t>达到</w:t>
            </w:r>
            <w:r>
              <w:rPr>
                <w:rFonts w:ascii="宋体" w:hAnsi="宋体" w:cs="华文仿宋"/>
                <w:color w:val="auto"/>
                <w:kern w:val="0"/>
                <w:sz w:val="24"/>
                <w:szCs w:val="24"/>
              </w:rPr>
              <w:t>17</w:t>
            </w:r>
            <w:r>
              <w:rPr>
                <w:rFonts w:hint="eastAsia" w:ascii="宋体" w:hAnsi="宋体" w:cs="宋体"/>
                <w:color w:val="auto"/>
                <w:kern w:val="0"/>
                <w:sz w:val="24"/>
                <w:szCs w:val="24"/>
              </w:rPr>
              <w:t>万人次，</w:t>
            </w:r>
            <w:r>
              <w:rPr>
                <w:rFonts w:hint="eastAsia" w:ascii="宋体" w:hAnsi="宋体" w:cs="宋体"/>
                <w:color w:val="auto"/>
                <w:kern w:val="0"/>
                <w:sz w:val="24"/>
                <w:szCs w:val="24"/>
              </w:rPr>
              <w:t>培育一批技能等级认定机构。</w:t>
            </w:r>
          </w:p>
          <w:p>
            <w:pPr>
              <w:spacing w:line="520" w:lineRule="exact"/>
              <w:ind w:firstLine="482" w:firstLineChars="200"/>
              <w:rPr>
                <w:rFonts w:ascii="Times New Roman" w:hAnsi="Times New Roman" w:eastAsia="仿宋"/>
                <w:color w:val="auto"/>
                <w:kern w:val="0"/>
                <w:sz w:val="24"/>
                <w:szCs w:val="24"/>
              </w:rPr>
            </w:pPr>
            <w:r>
              <w:rPr>
                <w:rFonts w:hint="eastAsia" w:ascii="宋体" w:hAnsi="宋体" w:cs="宋体"/>
                <w:b/>
                <w:bCs/>
                <w:color w:val="auto"/>
                <w:kern w:val="0"/>
                <w:sz w:val="24"/>
                <w:szCs w:val="24"/>
              </w:rPr>
              <w:t>高等教育。</w:t>
            </w:r>
            <w:r>
              <w:rPr>
                <w:rFonts w:hint="eastAsia" w:ascii="宋体" w:hAnsi="宋体" w:cs="宋体"/>
                <w:color w:val="auto"/>
                <w:kern w:val="0"/>
                <w:sz w:val="24"/>
                <w:szCs w:val="24"/>
              </w:rPr>
              <w:t>推动安阳师范学院、安阳工学院、安阳学院提高办学水平，支持河南护理职业学院、安阳职业技术学院、安阳幼儿师范高等专科学校升格为本科院校。</w:t>
            </w:r>
          </w:p>
        </w:tc>
      </w:tr>
      <w:bookmarkEnd w:id="37"/>
    </w:tbl>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4</w:t>
      </w:r>
      <w:r>
        <w:rPr>
          <w:rFonts w:hint="eastAsia" w:ascii="仿宋_GB2312" w:hAnsi="方正仿宋_GBK" w:eastAsia="仿宋_GB2312" w:cs="方正仿宋_GBK"/>
          <w:color w:val="auto"/>
        </w:rPr>
        <w:t>、家政服务</w:t>
      </w:r>
    </w:p>
    <w:p>
      <w:pPr>
        <w:pStyle w:val="12"/>
        <w:widowControl/>
        <w:spacing w:line="580" w:lineRule="exact"/>
        <w:ind w:firstLine="640"/>
        <w:jc w:val="both"/>
        <w:rPr>
          <w:rFonts w:ascii="仿宋_GB2312" w:hAnsi="华文仿宋" w:eastAsia="仿宋_GB2312" w:cs="华文仿宋"/>
          <w:color w:val="auto"/>
          <w:kern w:val="2"/>
          <w:sz w:val="32"/>
          <w:szCs w:val="32"/>
        </w:rPr>
      </w:pPr>
      <w:r>
        <w:rPr>
          <w:rFonts w:hint="eastAsia" w:ascii="仿宋_GB2312" w:hAnsi="华文仿宋" w:eastAsia="仿宋_GB2312" w:cs="华文仿宋"/>
          <w:color w:val="auto"/>
          <w:kern w:val="2"/>
          <w:sz w:val="32"/>
          <w:szCs w:val="32"/>
        </w:rPr>
        <w:t>积极顺应社会转型和消费升级的发展趋势，创新发展业态模式，扩大优质服务供给，促进家政服务业提质扩容。到</w:t>
      </w:r>
      <w:r>
        <w:rPr>
          <w:rFonts w:ascii="仿宋_GB2312" w:hAnsi="华文仿宋" w:eastAsia="仿宋_GB2312" w:cs="华文仿宋"/>
          <w:color w:val="auto"/>
          <w:kern w:val="2"/>
          <w:sz w:val="32"/>
          <w:szCs w:val="32"/>
        </w:rPr>
        <w:t>2025</w:t>
      </w:r>
      <w:r>
        <w:rPr>
          <w:rFonts w:hint="eastAsia" w:ascii="仿宋_GB2312" w:hAnsi="华文仿宋" w:eastAsia="仿宋_GB2312" w:cs="华文仿宋"/>
          <w:color w:val="auto"/>
          <w:kern w:val="2"/>
          <w:sz w:val="32"/>
          <w:szCs w:val="32"/>
        </w:rPr>
        <w:t>年，家政物业服务规范化、专业化水平显著提升，家政服务营业收入实现新突破。</w:t>
      </w:r>
    </w:p>
    <w:p>
      <w:pPr>
        <w:pStyle w:val="12"/>
        <w:widowControl/>
        <w:spacing w:line="580" w:lineRule="exact"/>
        <w:ind w:firstLine="643" w:firstLineChars="200"/>
        <w:jc w:val="both"/>
        <w:rPr>
          <w:rFonts w:ascii="仿宋_GB2312" w:hAnsi="华文仿宋" w:eastAsia="仿宋_GB2312" w:cs="华文仿宋"/>
          <w:color w:val="auto"/>
          <w:kern w:val="2"/>
          <w:sz w:val="32"/>
          <w:szCs w:val="32"/>
        </w:rPr>
      </w:pPr>
      <w:r>
        <w:rPr>
          <w:rFonts w:hint="eastAsia" w:ascii="仿宋_GB2312" w:hAnsi="方正仿宋_GBK" w:eastAsia="仿宋_GB2312" w:cs="方正仿宋_GBK"/>
          <w:b/>
          <w:bCs/>
          <w:color w:val="auto"/>
          <w:kern w:val="2"/>
          <w:sz w:val="32"/>
          <w:szCs w:val="32"/>
        </w:rPr>
        <w:t>推进家政服务提档升级。</w:t>
      </w:r>
      <w:r>
        <w:rPr>
          <w:rFonts w:hint="eastAsia" w:ascii="仿宋_GB2312" w:hAnsi="华文仿宋" w:eastAsia="仿宋_GB2312" w:cs="华文仿宋"/>
          <w:color w:val="auto"/>
          <w:kern w:val="2"/>
          <w:sz w:val="32"/>
          <w:szCs w:val="32"/>
        </w:rPr>
        <w:t>积极推动家政服务“中介制”向“员工制”转型升级，支持发展一批员工制家政服务企业。持续推动家政服务进社区，不断扩大家政服务覆盖面。支持家政服务与物业服务企业的联动整合，发展物业管理、家庭保洁、电器维修、日常用品配送、废品回收等业态。支持家政服务企业拓展发展膳食营养、医疗保健、心理服务等高品质服务，开展高端家政服务技能培训，打造一支优秀高端的家政从业人员队伍，向外输出优质家政服务。支持企业加大品牌建设力度，推进家政服务标准化试点建设，打造一批具有区域影响力的家庭服务品牌。支持企业根据客户需求个性化要求</w:t>
      </w:r>
      <w:r>
        <w:rPr>
          <w:rFonts w:hint="eastAsia" w:ascii="仿宋_GB2312" w:hAnsi="华文仿宋" w:eastAsia="仿宋_GB2312" w:cs="华文仿宋"/>
          <w:color w:val="auto"/>
          <w:kern w:val="2"/>
          <w:sz w:val="32"/>
          <w:szCs w:val="32"/>
          <w:lang w:eastAsia="zh-CN"/>
        </w:rPr>
        <w:t>，</w:t>
      </w:r>
      <w:r>
        <w:rPr>
          <w:rFonts w:hint="eastAsia" w:ascii="仿宋_GB2312" w:hAnsi="华文仿宋" w:eastAsia="仿宋_GB2312" w:cs="华文仿宋"/>
          <w:color w:val="auto"/>
          <w:kern w:val="2"/>
          <w:sz w:val="32"/>
          <w:szCs w:val="32"/>
        </w:rPr>
        <w:t>打造“私人定制”家政服务。鼓励有条件的家政服务企业依托品牌优势，拓展服务网络，实现跨区域连锁化、品质化发展，壮大产业规模。</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方正仿宋_GBK" w:eastAsia="仿宋_GB2312" w:cs="方正仿宋_GBK"/>
          <w:b/>
          <w:bCs/>
          <w:color w:val="auto"/>
          <w:sz w:val="32"/>
          <w:szCs w:val="32"/>
        </w:rPr>
        <w:t>提升家政服务专业能力。</w:t>
      </w:r>
      <w:r>
        <w:rPr>
          <w:rFonts w:hint="eastAsia" w:ascii="仿宋_GB2312" w:hAnsi="华文仿宋" w:eastAsia="仿宋_GB2312" w:cs="华文仿宋"/>
          <w:color w:val="auto"/>
          <w:sz w:val="32"/>
          <w:szCs w:val="32"/>
        </w:rPr>
        <w:t>以家政服务龙头企业、专业培训机构等为依托，以养老护理、母婴照顾、病患照护、残疾人陪护等领域为重点，大力开展职业技能培训，整体提升家政服务专业化水平。完善技能提升模式，建立健全岗前培训、定期培训、“回炉”培训、技能大赛等培训机制。推动家政服务从业人员职业化发展，建立家政服务人员持证上门制度，推广使用家政服务合同示范文本。建立家政服务信用信息平台，完善家政企业和从业人员信用记录和信用档案。发展“智慧家政”，打造线上线下相结合的社区家政服务。</w:t>
      </w:r>
    </w:p>
    <w:tbl>
      <w:tblPr>
        <w:tblStyle w:val="16"/>
        <w:tblW w:w="86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646" w:type="dxa"/>
            <w:tcBorders>
              <w:top w:val="single" w:color="auto" w:sz="8" w:space="0"/>
            </w:tcBorders>
          </w:tcPr>
          <w:p>
            <w:pPr>
              <w:spacing w:line="520" w:lineRule="exact"/>
              <w:jc w:val="center"/>
              <w:rPr>
                <w:rFonts w:ascii="黑体" w:hAnsi="黑体" w:eastAsia="黑体"/>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3.16  </w:t>
            </w:r>
            <w:r>
              <w:rPr>
                <w:rFonts w:hint="eastAsia" w:ascii="黑体" w:hAnsi="黑体" w:eastAsia="黑体"/>
                <w:color w:val="auto"/>
                <w:kern w:val="0"/>
                <w:sz w:val="24"/>
                <w:szCs w:val="24"/>
              </w:rPr>
              <w:t>家政服务发展支撑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4" w:hRule="atLeast"/>
          <w:jc w:val="center"/>
        </w:trPr>
        <w:tc>
          <w:tcPr>
            <w:tcW w:w="8646" w:type="dxa"/>
            <w:tcBorders>
              <w:bottom w:val="single" w:color="auto" w:sz="8" w:space="0"/>
            </w:tcBorders>
          </w:tcPr>
          <w:p>
            <w:pPr>
              <w:spacing w:line="520" w:lineRule="exact"/>
              <w:ind w:firstLine="482" w:firstLineChars="200"/>
              <w:rPr>
                <w:rFonts w:ascii="宋体"/>
                <w:color w:val="auto"/>
                <w:sz w:val="24"/>
                <w:szCs w:val="24"/>
              </w:rPr>
            </w:pPr>
            <w:r>
              <w:rPr>
                <w:rFonts w:hint="eastAsia" w:ascii="宋体" w:hAnsi="宋体" w:cs="宋体"/>
                <w:b/>
                <w:bCs/>
                <w:color w:val="auto"/>
                <w:sz w:val="24"/>
                <w:szCs w:val="24"/>
              </w:rPr>
              <w:t>家政服务进社区。</w:t>
            </w:r>
            <w:r>
              <w:rPr>
                <w:rFonts w:hint="eastAsia" w:ascii="宋体" w:hAnsi="宋体" w:cs="宋体"/>
                <w:color w:val="auto"/>
                <w:sz w:val="24"/>
                <w:szCs w:val="24"/>
              </w:rPr>
              <w:t>支持依托社区综合服务设施设立家政服务网点，推动家政与养老、育幼、物业、快递等多种社区服务融合发展，培育</w:t>
            </w:r>
            <w:r>
              <w:rPr>
                <w:rFonts w:ascii="宋体" w:hAnsi="宋体" w:cs="华文仿宋"/>
                <w:color w:val="auto"/>
                <w:sz w:val="24"/>
                <w:szCs w:val="24"/>
              </w:rPr>
              <w:t>50</w:t>
            </w:r>
            <w:r>
              <w:rPr>
                <w:rFonts w:hint="eastAsia" w:ascii="宋体" w:hAnsi="宋体" w:cs="宋体"/>
                <w:color w:val="auto"/>
                <w:sz w:val="24"/>
                <w:szCs w:val="24"/>
              </w:rPr>
              <w:t>家左右家政服务示范社区网点。</w:t>
            </w:r>
          </w:p>
          <w:p>
            <w:pPr>
              <w:spacing w:line="520" w:lineRule="exact"/>
              <w:ind w:firstLine="482" w:firstLineChars="200"/>
              <w:rPr>
                <w:rFonts w:ascii="宋体"/>
                <w:color w:val="auto"/>
                <w:sz w:val="24"/>
                <w:szCs w:val="24"/>
              </w:rPr>
            </w:pPr>
            <w:r>
              <w:rPr>
                <w:rFonts w:hint="eastAsia" w:ascii="宋体" w:hAnsi="宋体" w:cs="宋体"/>
                <w:b/>
                <w:bCs/>
                <w:color w:val="auto"/>
                <w:sz w:val="24"/>
                <w:szCs w:val="24"/>
              </w:rPr>
              <w:t>家政服务技能提升。</w:t>
            </w:r>
            <w:r>
              <w:rPr>
                <w:rFonts w:hint="eastAsia" w:ascii="宋体" w:hAnsi="宋体" w:cs="宋体"/>
                <w:color w:val="auto"/>
                <w:sz w:val="24"/>
                <w:szCs w:val="24"/>
              </w:rPr>
              <w:t>支持家政企业产教融合发展，加大家政服务职业技能培训，积极开展</w:t>
            </w:r>
            <w:r>
              <w:rPr>
                <w:rFonts w:hint="eastAsia" w:ascii="宋体"/>
                <w:color w:val="auto"/>
                <w:sz w:val="24"/>
                <w:szCs w:val="24"/>
              </w:rPr>
              <w:t>“</w:t>
            </w:r>
            <w:r>
              <w:rPr>
                <w:rFonts w:hint="eastAsia" w:ascii="宋体" w:hAnsi="宋体" w:cs="宋体"/>
                <w:color w:val="auto"/>
                <w:sz w:val="24"/>
                <w:szCs w:val="24"/>
              </w:rPr>
              <w:t>互联网</w:t>
            </w:r>
            <w:r>
              <w:rPr>
                <w:rFonts w:ascii="宋体" w:hAnsi="宋体"/>
                <w:color w:val="auto"/>
                <w:sz w:val="24"/>
                <w:szCs w:val="24"/>
              </w:rPr>
              <w:t>+</w:t>
            </w:r>
            <w:r>
              <w:rPr>
                <w:rFonts w:hint="eastAsia" w:ascii="宋体" w:hAnsi="宋体"/>
                <w:color w:val="auto"/>
                <w:sz w:val="24"/>
                <w:szCs w:val="24"/>
              </w:rPr>
              <w:t>”</w:t>
            </w:r>
            <w:r>
              <w:rPr>
                <w:rFonts w:hint="eastAsia" w:ascii="宋体" w:hAnsi="宋体" w:cs="宋体"/>
                <w:color w:val="auto"/>
                <w:sz w:val="24"/>
                <w:szCs w:val="24"/>
              </w:rPr>
              <w:t>培训，推动家政服务从业人员持证率达</w:t>
            </w:r>
            <w:r>
              <w:rPr>
                <w:rFonts w:ascii="宋体" w:hAnsi="宋体" w:cs="华文仿宋"/>
                <w:color w:val="auto"/>
                <w:sz w:val="24"/>
                <w:szCs w:val="24"/>
              </w:rPr>
              <w:t>90%</w:t>
            </w:r>
            <w:r>
              <w:rPr>
                <w:rFonts w:hint="eastAsia" w:ascii="宋体" w:hAnsi="宋体" w:cs="宋体"/>
                <w:color w:val="auto"/>
                <w:sz w:val="24"/>
                <w:szCs w:val="24"/>
              </w:rPr>
              <w:t>以上，每年培训家政从业人员</w:t>
            </w:r>
            <w:r>
              <w:rPr>
                <w:rFonts w:ascii="宋体" w:hAnsi="宋体" w:cs="华文仿宋"/>
                <w:color w:val="auto"/>
                <w:sz w:val="24"/>
                <w:szCs w:val="24"/>
              </w:rPr>
              <w:t>2000</w:t>
            </w:r>
            <w:r>
              <w:rPr>
                <w:rFonts w:hint="eastAsia" w:ascii="宋体" w:hAnsi="宋体" w:cs="宋体"/>
                <w:color w:val="auto"/>
                <w:sz w:val="24"/>
                <w:szCs w:val="24"/>
              </w:rPr>
              <w:t>人次以上。</w:t>
            </w:r>
          </w:p>
          <w:p>
            <w:pPr>
              <w:spacing w:line="520" w:lineRule="exact"/>
              <w:ind w:firstLine="482" w:firstLineChars="200"/>
              <w:rPr>
                <w:color w:val="auto"/>
              </w:rPr>
            </w:pPr>
            <w:r>
              <w:rPr>
                <w:rFonts w:hint="eastAsia" w:ascii="宋体" w:hAnsi="宋体" w:cs="宋体"/>
                <w:b/>
                <w:bCs/>
                <w:color w:val="auto"/>
                <w:sz w:val="24"/>
                <w:szCs w:val="24"/>
              </w:rPr>
              <w:t>家政品牌和标准化建设。</w:t>
            </w:r>
            <w:r>
              <w:rPr>
                <w:rFonts w:hint="eastAsia" w:ascii="宋体" w:hAnsi="宋体" w:cs="宋体"/>
                <w:color w:val="auto"/>
                <w:sz w:val="24"/>
                <w:szCs w:val="24"/>
              </w:rPr>
              <w:t>积极参与家政服务标准化试点建设，发布</w:t>
            </w:r>
            <w:r>
              <w:rPr>
                <w:rFonts w:ascii="宋体" w:hAnsi="宋体" w:cs="华文仿宋"/>
                <w:color w:val="auto"/>
                <w:sz w:val="24"/>
                <w:szCs w:val="24"/>
              </w:rPr>
              <w:t>10</w:t>
            </w:r>
            <w:r>
              <w:rPr>
                <w:rFonts w:hint="eastAsia" w:ascii="宋体" w:hAnsi="宋体" w:cs="宋体"/>
                <w:color w:val="auto"/>
                <w:sz w:val="24"/>
                <w:szCs w:val="24"/>
              </w:rPr>
              <w:t>项左右地方行业标准，打造</w:t>
            </w:r>
            <w:r>
              <w:rPr>
                <w:rFonts w:ascii="宋体" w:hAnsi="宋体" w:cs="华文仿宋"/>
                <w:color w:val="auto"/>
                <w:sz w:val="24"/>
                <w:szCs w:val="24"/>
              </w:rPr>
              <w:t>5</w:t>
            </w:r>
            <w:r>
              <w:rPr>
                <w:rFonts w:hint="eastAsia" w:ascii="宋体" w:hAnsi="宋体" w:cs="宋体"/>
                <w:color w:val="auto"/>
                <w:sz w:val="24"/>
                <w:szCs w:val="24"/>
              </w:rPr>
              <w:t>家左右家政品牌服务机构。</w:t>
            </w:r>
          </w:p>
        </w:tc>
      </w:tr>
    </w:tbl>
    <w:p>
      <w:pPr>
        <w:keepNext/>
        <w:keepLines/>
        <w:spacing w:line="580" w:lineRule="exact"/>
        <w:outlineLvl w:val="2"/>
        <w:rPr>
          <w:rFonts w:ascii="仿宋_GB2312" w:hAnsi="方正仿宋_GBK" w:eastAsia="仿宋_GB2312" w:cs="方正仿宋_GBK"/>
          <w:b/>
          <w:bCs/>
          <w:color w:val="auto"/>
          <w:sz w:val="32"/>
          <w:szCs w:val="32"/>
        </w:rPr>
      </w:pPr>
      <w:r>
        <w:rPr>
          <w:rFonts w:ascii="仿宋_GB2312" w:hAnsi="方正仿宋_GBK" w:eastAsia="仿宋_GB2312" w:cs="方正仿宋_GBK"/>
          <w:b/>
          <w:bCs/>
          <w:color w:val="auto"/>
          <w:sz w:val="32"/>
          <w:szCs w:val="32"/>
        </w:rPr>
        <w:t xml:space="preserve">    5</w:t>
      </w:r>
      <w:r>
        <w:rPr>
          <w:rFonts w:hint="eastAsia" w:ascii="仿宋_GB2312" w:hAnsi="方正仿宋_GBK" w:eastAsia="仿宋_GB2312" w:cs="方正仿宋_GBK"/>
          <w:b/>
          <w:bCs/>
          <w:color w:val="auto"/>
          <w:sz w:val="32"/>
          <w:szCs w:val="32"/>
        </w:rPr>
        <w:t>、房地产</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按照“房住不炒”的总体要求，推动形成总量平衡、结构合理的住房供需格局，促进我市房地产市场平稳发展。</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方正仿宋_GBK" w:eastAsia="仿宋_GB2312" w:cs="方正仿宋_GBK"/>
          <w:b/>
          <w:bCs/>
          <w:color w:val="auto"/>
          <w:sz w:val="32"/>
          <w:szCs w:val="32"/>
        </w:rPr>
        <w:t>推进房地产业转型发展。</w:t>
      </w:r>
      <w:r>
        <w:rPr>
          <w:rFonts w:hint="eastAsia" w:ascii="仿宋_GB2312" w:hAnsi="华文仿宋" w:eastAsia="仿宋_GB2312" w:cs="华文仿宋"/>
          <w:color w:val="auto"/>
          <w:sz w:val="32"/>
          <w:szCs w:val="32"/>
        </w:rPr>
        <w:t>建立完善房地产市场平稳健康发展长效机制，大力推动产城融合发展。引导房地产企业进入旅游开发、园区建设、现代农业建设等领域，鼓励房地产企业开发建设以服务为核心的老年地产。全面加强房屋租赁市场基础制度和长效机制建设，科学构建租售并举的住房制度，大力发展和培育房屋租赁市场。倡导建设节能、节水、绿色、低碳住宅，推进建筑产业现代化发展。加强住宅小区周边教育、医疗、商贸服务配套建设，推动房地产业向建设与服务并重的方向转型。</w:t>
      </w:r>
    </w:p>
    <w:p>
      <w:pPr>
        <w:spacing w:line="580" w:lineRule="exact"/>
        <w:ind w:firstLine="643" w:firstLineChars="200"/>
        <w:rPr>
          <w:rFonts w:ascii="仿宋_GB2312" w:hAnsi="华文仿宋" w:eastAsia="仿宋_GB2312" w:cs="华文仿宋"/>
          <w:color w:val="auto"/>
          <w:sz w:val="32"/>
          <w:szCs w:val="32"/>
        </w:rPr>
      </w:pPr>
      <w:r>
        <w:rPr>
          <w:rFonts w:hint="eastAsia" w:ascii="仿宋_GB2312" w:hAnsi="方正仿宋_GBK" w:eastAsia="仿宋_GB2312" w:cs="方正仿宋_GBK"/>
          <w:b/>
          <w:bCs/>
          <w:color w:val="auto"/>
          <w:sz w:val="32"/>
          <w:szCs w:val="32"/>
        </w:rPr>
        <w:t>提升房地产业管理服务水平。</w:t>
      </w:r>
      <w:r>
        <w:rPr>
          <w:rFonts w:hint="eastAsia" w:ascii="仿宋_GB2312" w:hAnsi="华文仿宋" w:eastAsia="仿宋_GB2312" w:cs="华文仿宋"/>
          <w:color w:val="auto"/>
          <w:sz w:val="32"/>
          <w:szCs w:val="32"/>
        </w:rPr>
        <w:t>建立完善房地产市场及关联行业网络化管理体系，规范房屋网签备案制度，进一步提升我市房地产行业信息化管理水平。促进房地产评估和经纪、土地评估和登记代理机构专业化发展，规范中介服务市场秩序。提升住宅物业管理水平，推动物业管理向村镇社区、老旧小区扩展和延伸，建设一批“红色物业”“智慧物业”，加大高品质物业服务供给。到</w:t>
      </w:r>
      <w:r>
        <w:rPr>
          <w:rFonts w:ascii="仿宋_GB2312" w:hAnsi="华文仿宋" w:eastAsia="仿宋_GB2312" w:cs="华文仿宋"/>
          <w:color w:val="auto"/>
          <w:sz w:val="32"/>
          <w:szCs w:val="32"/>
        </w:rPr>
        <w:t>2025</w:t>
      </w:r>
      <w:r>
        <w:rPr>
          <w:rFonts w:hint="eastAsia" w:ascii="仿宋_GB2312" w:hAnsi="华文仿宋" w:eastAsia="仿宋_GB2312" w:cs="华文仿宋"/>
          <w:color w:val="auto"/>
          <w:sz w:val="32"/>
          <w:szCs w:val="32"/>
        </w:rPr>
        <w:t>年，专业化物业管理覆盖率达到</w:t>
      </w:r>
      <w:r>
        <w:rPr>
          <w:rFonts w:ascii="仿宋_GB2312" w:hAnsi="华文仿宋" w:eastAsia="仿宋_GB2312" w:cs="华文仿宋"/>
          <w:color w:val="auto"/>
          <w:sz w:val="32"/>
          <w:szCs w:val="32"/>
        </w:rPr>
        <w:t>90%</w:t>
      </w:r>
      <w:r>
        <w:rPr>
          <w:rFonts w:hint="eastAsia" w:ascii="仿宋_GB2312" w:hAnsi="华文仿宋" w:eastAsia="仿宋_GB2312" w:cs="华文仿宋"/>
          <w:color w:val="auto"/>
          <w:sz w:val="32"/>
          <w:szCs w:val="32"/>
        </w:rPr>
        <w:t>以上。</w:t>
      </w:r>
    </w:p>
    <w:p>
      <w:pPr>
        <w:pStyle w:val="2"/>
        <w:spacing w:line="580" w:lineRule="exact"/>
        <w:jc w:val="both"/>
        <w:rPr>
          <w:rFonts w:ascii="黑体"/>
          <w:b w:val="0"/>
          <w:bCs w:val="0"/>
          <w:color w:val="auto"/>
          <w:szCs w:val="32"/>
        </w:rPr>
      </w:pPr>
      <w:bookmarkStart w:id="38" w:name="_Toc99813101"/>
      <w:r>
        <w:rPr>
          <w:rFonts w:ascii="黑体" w:hAnsi="黑体"/>
          <w:b w:val="0"/>
          <w:bCs w:val="0"/>
          <w:color w:val="auto"/>
          <w:szCs w:val="32"/>
        </w:rPr>
        <w:t xml:space="preserve">    </w:t>
      </w:r>
      <w:r>
        <w:rPr>
          <w:rFonts w:hint="eastAsia" w:ascii="黑体" w:hAnsi="黑体"/>
          <w:b w:val="0"/>
          <w:bCs w:val="0"/>
          <w:color w:val="auto"/>
          <w:szCs w:val="32"/>
        </w:rPr>
        <w:t>四、优化空间新格局</w:t>
      </w:r>
      <w:bookmarkEnd w:id="38"/>
    </w:p>
    <w:p>
      <w:pPr>
        <w:spacing w:line="580" w:lineRule="exact"/>
        <w:ind w:firstLine="640" w:firstLineChars="200"/>
        <w:rPr>
          <w:rFonts w:ascii="华文仿宋" w:hAnsi="华文仿宋" w:eastAsia="华文仿宋" w:cs="华文仿宋"/>
          <w:color w:val="auto"/>
          <w:sz w:val="32"/>
          <w:szCs w:val="32"/>
        </w:rPr>
        <w:sectPr>
          <w:pgSz w:w="11906" w:h="16838"/>
          <w:pgMar w:top="1985" w:right="1474" w:bottom="1985" w:left="1588" w:header="851" w:footer="1418" w:gutter="0"/>
          <w:pgNumType w:start="1"/>
          <w:cols w:space="425" w:num="1"/>
          <w:docGrid w:type="lines" w:linePitch="312" w:charSpace="0"/>
        </w:sectPr>
      </w:pPr>
      <w:r>
        <w:rPr>
          <w:rFonts w:hint="eastAsia" w:ascii="仿宋_GB2312" w:hAnsi="华文仿宋" w:eastAsia="仿宋_GB2312" w:cs="华文仿宋"/>
          <w:color w:val="auto"/>
          <w:sz w:val="32"/>
          <w:szCs w:val="32"/>
        </w:rPr>
        <w:t>按照“布局集中、用地集约、产业集聚”要求，结合各区域资源环境承载力、比较优势及功能特色，着力构筑“一核引领、两轴联动、四区协同、多点支撑”的服务经济空间布局，引导各区域服务业错位、联动、协调、有序发展。</w:t>
      </w:r>
    </w:p>
    <w:p>
      <w:pPr>
        <w:widowControl/>
        <w:jc w:val="center"/>
        <w:rPr>
          <w:rFonts w:ascii="??" w:hAnsi="??" w:cs="??"/>
          <w:color w:val="auto"/>
          <w:kern w:val="0"/>
          <w:sz w:val="24"/>
          <w:szCs w:val="24"/>
        </w:rPr>
      </w:pPr>
      <w:r>
        <w:rPr>
          <w:color w:val="auto"/>
        </w:rPr>
        <w:pict>
          <v:shape id="图片 1" o:spid="_x0000_s1026" o:spt="75" type="#_x0000_t75" style="position:absolute;left:0pt;margin-top:7.95pt;height:385.35pt;width:576.8pt;mso-position-horizontal:center;z-index:251658240;mso-width-relative:page;mso-height-relative:page;" filled="f" o:preferrelative="t" stroked="f" coordsize="21600,21600">
            <v:path/>
            <v:fill on="f" focussize="0,0"/>
            <v:stroke on="f" joinstyle="miter"/>
            <v:imagedata r:id="rId7" o:title=""/>
            <o:lock v:ext="edit" aspectratio="t"/>
          </v:shape>
        </w:pict>
      </w:r>
    </w:p>
    <w:p>
      <w:pPr>
        <w:spacing w:line="600" w:lineRule="exact"/>
        <w:ind w:firstLine="640" w:firstLineChars="200"/>
        <w:rPr>
          <w:rFonts w:ascii="Times New Roman" w:hAnsi="Times New Roman" w:eastAsia="仿宋_GB2312"/>
          <w:color w:val="auto"/>
          <w:sz w:val="32"/>
          <w:szCs w:val="32"/>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600" w:lineRule="exact"/>
        <w:jc w:val="center"/>
        <w:rPr>
          <w:rFonts w:ascii="Times New Roman" w:hAnsi="Times New Roman" w:eastAsia="黑体"/>
          <w:color w:val="auto"/>
          <w:sz w:val="24"/>
          <w:szCs w:val="24"/>
        </w:rPr>
      </w:pPr>
    </w:p>
    <w:p>
      <w:pPr>
        <w:widowControl/>
        <w:spacing w:line="520" w:lineRule="exact"/>
        <w:jc w:val="center"/>
        <w:rPr>
          <w:rFonts w:ascii="Times New Roman" w:hAnsi="Times New Roman" w:eastAsia="黑体"/>
          <w:color w:val="auto"/>
          <w:sz w:val="24"/>
          <w:szCs w:val="24"/>
        </w:rPr>
      </w:pPr>
    </w:p>
    <w:p>
      <w:pPr>
        <w:widowControl/>
        <w:spacing w:line="520" w:lineRule="exact"/>
        <w:jc w:val="center"/>
        <w:rPr>
          <w:rFonts w:ascii="Times New Roman" w:hAnsi="Times New Roman" w:eastAsia="黑体"/>
          <w:color w:val="auto"/>
          <w:sz w:val="24"/>
          <w:szCs w:val="24"/>
        </w:rPr>
        <w:sectPr>
          <w:pgSz w:w="16838" w:h="11906" w:orient="landscape"/>
          <w:pgMar w:top="1588" w:right="1985" w:bottom="1474" w:left="1985" w:header="851" w:footer="992" w:gutter="0"/>
          <w:cols w:space="425" w:num="1"/>
          <w:docGrid w:type="lines" w:linePitch="312" w:charSpace="0"/>
        </w:sectPr>
      </w:pPr>
      <w:r>
        <w:rPr>
          <w:rFonts w:hint="eastAsia" w:ascii="Times New Roman" w:hAnsi="Times New Roman" w:eastAsia="黑体"/>
          <w:color w:val="auto"/>
          <w:sz w:val="24"/>
          <w:szCs w:val="24"/>
        </w:rPr>
        <w:t>图</w:t>
      </w:r>
      <w:r>
        <w:rPr>
          <w:rFonts w:ascii="Times New Roman" w:hAnsi="Times New Roman" w:eastAsia="黑体"/>
          <w:color w:val="auto"/>
          <w:sz w:val="24"/>
          <w:szCs w:val="24"/>
        </w:rPr>
        <w:t xml:space="preserve">4.1  </w:t>
      </w:r>
      <w:r>
        <w:rPr>
          <w:rFonts w:hint="eastAsia" w:ascii="Times New Roman" w:hAnsi="Times New Roman" w:eastAsia="黑体"/>
          <w:color w:val="auto"/>
          <w:sz w:val="24"/>
          <w:szCs w:val="24"/>
        </w:rPr>
        <w:t>安阳市现代服务业空间布局</w:t>
      </w:r>
    </w:p>
    <w:p>
      <w:pPr>
        <w:widowControl/>
        <w:spacing w:line="600" w:lineRule="exact"/>
        <w:jc w:val="center"/>
        <w:rPr>
          <w:rFonts w:ascii="Times New Roman" w:hAnsi="Times New Roman" w:eastAsia="黑体"/>
          <w:color w:val="auto"/>
          <w:sz w:val="24"/>
          <w:szCs w:val="24"/>
        </w:rPr>
        <w:sectPr>
          <w:type w:val="continuous"/>
          <w:pgSz w:w="16838" w:h="11906" w:orient="landscape"/>
          <w:pgMar w:top="1797" w:right="1440" w:bottom="1797" w:left="1440" w:header="851" w:footer="992" w:gutter="0"/>
          <w:pgNumType w:start="1"/>
          <w:cols w:space="425" w:num="1"/>
          <w:docGrid w:type="lines" w:linePitch="312" w:charSpace="0"/>
        </w:sectPr>
      </w:pPr>
    </w:p>
    <w:p>
      <w:pPr>
        <w:pStyle w:val="3"/>
        <w:spacing w:line="580" w:lineRule="exact"/>
        <w:rPr>
          <w:rFonts w:ascii="楷体_GB2312" w:hAnsi="华文楷体" w:eastAsia="楷体_GB2312" w:cs="华文楷体"/>
          <w:color w:val="auto"/>
        </w:rPr>
      </w:pPr>
      <w:bookmarkStart w:id="39" w:name="_Toc99813102"/>
      <w:r>
        <w:rPr>
          <w:rFonts w:ascii="楷体_GB2312" w:hAnsi="华文楷体" w:eastAsia="楷体_GB2312" w:cs="华文楷体"/>
          <w:color w:val="auto"/>
        </w:rPr>
        <w:t xml:space="preserve">    </w:t>
      </w:r>
      <w:r>
        <w:rPr>
          <w:rFonts w:hint="eastAsia" w:ascii="楷体_GB2312" w:hAnsi="华文楷体" w:eastAsia="楷体_GB2312" w:cs="华文楷体"/>
          <w:color w:val="auto"/>
        </w:rPr>
        <w:t>（一）一核引领</w:t>
      </w:r>
      <w:bookmarkEnd w:id="39"/>
    </w:p>
    <w:p>
      <w:pPr>
        <w:spacing w:line="580" w:lineRule="exact"/>
        <w:ind w:firstLine="640" w:firstLineChars="200"/>
        <w:rPr>
          <w:rFonts w:ascii="仿宋_GB2312" w:hAnsi="华文仿宋" w:eastAsia="仿宋_GB2312" w:cs="华文仿宋"/>
          <w:color w:val="auto"/>
          <w:spacing w:val="-8"/>
          <w:sz w:val="32"/>
          <w:szCs w:val="32"/>
        </w:rPr>
      </w:pPr>
      <w:r>
        <w:rPr>
          <w:rFonts w:hint="eastAsia" w:ascii="仿宋_GB2312" w:hAnsi="华文仿宋" w:eastAsia="仿宋_GB2312" w:cs="华文仿宋"/>
          <w:color w:val="auto"/>
          <w:sz w:val="32"/>
          <w:szCs w:val="32"/>
        </w:rPr>
        <w:t>坚持规模扩张与业态提升并重，进一步强化中心城区在全市现代服务业发展中的核心引擎地位，以提升服务业产业能级和辐射水平为重点，集聚发展金融、商务、信息、创意设计、文化旅游、体育、知识产权等高端服务业，大力发展总部经济，支持总部企业做大做强，打造现代服务业发展核心区。着力提升市商务中心区、特色商业区等具有高附加值、高影响力的服务业集群建设</w:t>
      </w:r>
      <w:r>
        <w:rPr>
          <w:rFonts w:hint="eastAsia" w:ascii="仿宋_GB2312" w:hAnsi="华文仿宋" w:eastAsia="仿宋_GB2312" w:cs="华文仿宋"/>
          <w:color w:val="auto"/>
          <w:spacing w:val="-8"/>
          <w:sz w:val="32"/>
          <w:szCs w:val="32"/>
        </w:rPr>
        <w:t>水平。发挥好楼宇经济作用，积极引入国内外知名企业地区总部、采购中心、投资中心等高端服务机构，带动关联产业集聚发展，培育发展“一栋楼一个产业链”高端服务业态，完善交通、文化、医疗、教育、娱乐等综合服务功能，全面提升中心城区服务业规模能级。</w:t>
      </w:r>
    </w:p>
    <w:p>
      <w:pPr>
        <w:pStyle w:val="5"/>
        <w:ind w:left="31680"/>
        <w:rPr>
          <w:color w:val="auto"/>
        </w:rPr>
      </w:pP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65" w:type="dxa"/>
            <w:tcBorders>
              <w:top w:val="single" w:color="auto" w:sz="8" w:space="0"/>
            </w:tcBorders>
          </w:tcPr>
          <w:p>
            <w:pPr>
              <w:spacing w:line="520" w:lineRule="exact"/>
              <w:jc w:val="center"/>
              <w:rPr>
                <w:rFonts w:ascii="黑体" w:hAnsi="黑体" w:eastAsia="黑体"/>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4.1  </w:t>
            </w:r>
            <w:r>
              <w:rPr>
                <w:rFonts w:hint="eastAsia" w:ascii="黑体" w:hAnsi="黑体" w:eastAsia="黑体"/>
                <w:color w:val="auto"/>
                <w:kern w:val="0"/>
                <w:sz w:val="24"/>
                <w:szCs w:val="24"/>
              </w:rPr>
              <w:t>中心城区现代服务业布局重点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65" w:type="dxa"/>
            <w:tcBorders>
              <w:bottom w:val="single" w:color="auto" w:sz="8" w:space="0"/>
            </w:tcBorders>
          </w:tcPr>
          <w:p>
            <w:pPr>
              <w:snapToGrid w:val="0"/>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文峰区（高新区）。</w:t>
            </w:r>
            <w:r>
              <w:rPr>
                <w:rFonts w:hint="eastAsia" w:ascii="宋体" w:hAnsi="宋体" w:cs="宋体"/>
                <w:bCs/>
                <w:color w:val="auto"/>
                <w:kern w:val="0"/>
                <w:sz w:val="24"/>
                <w:szCs w:val="24"/>
              </w:rPr>
              <w:t>依托安阳古城开发保护，大力推进</w:t>
            </w:r>
            <w:r>
              <w:rPr>
                <w:rFonts w:hint="eastAsia" w:ascii="宋体" w:hAnsi="宋体" w:cs="宋体"/>
                <w:color w:val="auto"/>
                <w:kern w:val="0"/>
                <w:sz w:val="24"/>
                <w:szCs w:val="24"/>
              </w:rPr>
              <w:t>文化旅游和商务商贸融合发展。强化金融服务功能，汇聚高端商贸，加快发展总部经济和楼宇经济。以域内高新技术企业、高校和研发机构为依托，着力发展研发设计、创业孵化等为主的科技服务业，构建服务安阳，辐射周边的金融、商务商贸和科技服务中心。</w:t>
            </w:r>
          </w:p>
          <w:p>
            <w:pPr>
              <w:snapToGrid w:val="0"/>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北关区。</w:t>
            </w:r>
            <w:r>
              <w:rPr>
                <w:rFonts w:hint="eastAsia" w:ascii="宋体" w:hAnsi="宋体" w:cs="宋体"/>
                <w:bCs/>
                <w:color w:val="auto"/>
                <w:kern w:val="0"/>
                <w:sz w:val="24"/>
                <w:szCs w:val="24"/>
              </w:rPr>
              <w:t>依托优质医疗资源，加快</w:t>
            </w:r>
            <w:r>
              <w:rPr>
                <w:rFonts w:hint="eastAsia" w:ascii="宋体" w:hAnsi="宋体" w:cs="宋体"/>
                <w:color w:val="auto"/>
                <w:kern w:val="0"/>
                <w:sz w:val="24"/>
                <w:szCs w:val="24"/>
              </w:rPr>
              <w:t>构建居家社区机构相协调、医养康养相结合的养老服务体系。依托中国文字博物馆、洹河两岸中轴线片区城市更新，积极发展文化创意、古玩字画等文化产业。依托无人机产业，培育壮大无人机应用服务经济；依托纺织服装产业，大力发展服装设计、电商物流等服务。</w:t>
            </w:r>
          </w:p>
          <w:p>
            <w:pPr>
              <w:snapToGrid w:val="0"/>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殷都区。</w:t>
            </w:r>
            <w:r>
              <w:rPr>
                <w:rFonts w:hint="eastAsia" w:ascii="宋体" w:hAnsi="宋体" w:cs="宋体"/>
                <w:color w:val="auto"/>
                <w:kern w:val="0"/>
                <w:sz w:val="24"/>
                <w:szCs w:val="24"/>
              </w:rPr>
              <w:t>依托殷墟国家考古遗址公园、安阳曹操高陵、马氏庄园、水冶古镇、跃进渠等旅游资源，打造全域旅游产业体系。提升武丁物流园综合服务能力，加快建设豫北公铁物流园，推进制造业与物流融合发展，建设现代工业物流供应链服务体系。</w:t>
            </w:r>
          </w:p>
          <w:p>
            <w:pPr>
              <w:snapToGrid w:val="0"/>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龙安区。</w:t>
            </w:r>
            <w:r>
              <w:rPr>
                <w:rFonts w:hint="eastAsia" w:ascii="宋体" w:hAnsi="宋体" w:cs="宋体"/>
                <w:bCs/>
                <w:color w:val="auto"/>
                <w:kern w:val="0"/>
                <w:sz w:val="24"/>
                <w:szCs w:val="24"/>
              </w:rPr>
              <w:t>依托</w:t>
            </w:r>
            <w:r>
              <w:rPr>
                <w:rFonts w:hint="eastAsia" w:ascii="宋体" w:hAnsi="宋体" w:cs="宋体"/>
                <w:color w:val="auto"/>
                <w:kern w:val="0"/>
                <w:sz w:val="24"/>
                <w:szCs w:val="24"/>
              </w:rPr>
              <w:t>龙泉镇丰富的花卉资源优势，大力发展花卉游园、花木展览、苗木交易等相关产业。依托</w:t>
            </w:r>
            <w:r>
              <w:rPr>
                <w:rFonts w:hint="eastAsia" w:ascii="宋体"/>
                <w:color w:val="auto"/>
                <w:kern w:val="0"/>
                <w:sz w:val="24"/>
                <w:szCs w:val="24"/>
              </w:rPr>
              <w:t>“</w:t>
            </w:r>
            <w:r>
              <w:rPr>
                <w:rFonts w:hint="eastAsia" w:ascii="宋体" w:hAnsi="宋体" w:cs="宋体"/>
                <w:color w:val="auto"/>
                <w:kern w:val="0"/>
                <w:sz w:val="24"/>
                <w:szCs w:val="24"/>
              </w:rPr>
              <w:t>两库一泉</w:t>
            </w:r>
            <w:r>
              <w:rPr>
                <w:rFonts w:hint="eastAsia" w:ascii="宋体"/>
                <w:color w:val="auto"/>
                <w:kern w:val="0"/>
                <w:sz w:val="24"/>
                <w:szCs w:val="24"/>
              </w:rPr>
              <w:t>”</w:t>
            </w:r>
            <w:r>
              <w:rPr>
                <w:rFonts w:hint="eastAsia" w:ascii="宋体" w:hAnsi="宋体" w:cs="宋体"/>
                <w:color w:val="auto"/>
                <w:kern w:val="0"/>
                <w:sz w:val="24"/>
                <w:szCs w:val="24"/>
              </w:rPr>
              <w:t>资源，拓展旅游发展新空间，着力发展生态旅游、康养旅游，推动美丽安阳西苑建设。发挥现有物流产业优势，建设城区西部商贸物流基地。</w:t>
            </w:r>
          </w:p>
          <w:p>
            <w:pPr>
              <w:snapToGrid w:val="0"/>
              <w:spacing w:line="520" w:lineRule="exact"/>
              <w:ind w:firstLine="482" w:firstLineChars="200"/>
              <w:rPr>
                <w:rFonts w:ascii="Times New Roman" w:hAnsi="Times New Roman" w:eastAsia="楷体_GB2312"/>
                <w:color w:val="auto"/>
                <w:kern w:val="0"/>
                <w:sz w:val="24"/>
                <w:szCs w:val="24"/>
              </w:rPr>
            </w:pPr>
            <w:r>
              <w:rPr>
                <w:rFonts w:hint="eastAsia" w:ascii="宋体" w:hAnsi="宋体" w:cs="宋体"/>
                <w:b/>
                <w:color w:val="auto"/>
                <w:kern w:val="0"/>
                <w:sz w:val="24"/>
                <w:szCs w:val="24"/>
              </w:rPr>
              <w:t>安阳县（示范区）。</w:t>
            </w:r>
            <w:r>
              <w:rPr>
                <w:rFonts w:hint="eastAsia" w:ascii="宋体" w:hAnsi="宋体" w:cs="宋体"/>
                <w:color w:val="auto"/>
                <w:kern w:val="0"/>
                <w:sz w:val="24"/>
                <w:szCs w:val="24"/>
              </w:rPr>
              <w:t>依托安阳东站建设高铁经济圈，大力发展现代服务业，引导商务金融、总部经济、航空体验、汽车物流、科技创新服务等高端服务资源集聚。</w:t>
            </w:r>
          </w:p>
        </w:tc>
      </w:tr>
    </w:tbl>
    <w:p>
      <w:pPr>
        <w:pStyle w:val="3"/>
        <w:spacing w:line="580" w:lineRule="exact"/>
        <w:rPr>
          <w:rFonts w:ascii="楷体_GB2312" w:hAnsi="华文楷体" w:eastAsia="楷体_GB2312" w:cs="华文楷体"/>
          <w:color w:val="auto"/>
        </w:rPr>
      </w:pPr>
      <w:bookmarkStart w:id="40" w:name="_Toc99813103"/>
      <w:r>
        <w:rPr>
          <w:rFonts w:ascii="楷体_GB2312" w:hAnsi="华文楷体" w:eastAsia="楷体_GB2312" w:cs="华文楷体"/>
          <w:color w:val="auto"/>
        </w:rPr>
        <w:t xml:space="preserve">    </w:t>
      </w:r>
      <w:r>
        <w:rPr>
          <w:rFonts w:hint="eastAsia" w:ascii="楷体_GB2312" w:hAnsi="华文楷体" w:eastAsia="楷体_GB2312" w:cs="华文楷体"/>
          <w:color w:val="auto"/>
        </w:rPr>
        <w:t>（二）两轴联动</w:t>
      </w:r>
      <w:bookmarkEnd w:id="40"/>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发挥通道带动效应，突出产业融合，推动通道带物流、物流带经贸、经贸带产业，夯实服务业发展关键支撑。依托晋豫鲁铁路、南林高速等重要通道，打造“东出海、西挺进”现代服务业发展轴；依托京广铁路、京港澳高速公路、京广高铁等重要通道，打造“贯通南北”现代服务业发展轴，着力构建“十字形”枢纽经济创新发展格局。以“两轴”为支撑，联动安阳国家高新技术产业开发区、红旗渠国家经济技术开发区和先进制造业开发区，优化通道沿线产业布局与分工合作体系，加强生产性服务功能引进和培育，推动高端要素、高端产业、高端功能集聚发展，加快形成科技、贸易、信息、金融和物流服务“五位一体”的现代服务产业体系，推动通道优势向枢纽经济优势转变。</w:t>
      </w:r>
    </w:p>
    <w:p>
      <w:pPr>
        <w:pStyle w:val="3"/>
        <w:spacing w:line="580" w:lineRule="exact"/>
        <w:rPr>
          <w:rFonts w:ascii="楷体_GB2312" w:hAnsi="华文楷体" w:eastAsia="楷体_GB2312" w:cs="华文楷体"/>
          <w:color w:val="auto"/>
        </w:rPr>
      </w:pPr>
      <w:bookmarkStart w:id="41" w:name="_Toc99813104"/>
      <w:r>
        <w:rPr>
          <w:rFonts w:ascii="楷体_GB2312" w:hAnsi="华文楷体" w:eastAsia="楷体_GB2312" w:cs="华文楷体"/>
          <w:color w:val="auto"/>
        </w:rPr>
        <w:t xml:space="preserve">    </w:t>
      </w:r>
      <w:r>
        <w:rPr>
          <w:rFonts w:hint="eastAsia" w:ascii="楷体_GB2312" w:hAnsi="华文楷体" w:eastAsia="楷体_GB2312" w:cs="华文楷体"/>
          <w:color w:val="auto"/>
        </w:rPr>
        <w:t>（三）四区协同</w:t>
      </w:r>
      <w:bookmarkEnd w:id="41"/>
    </w:p>
    <w:p>
      <w:pPr>
        <w:pStyle w:val="13"/>
        <w:shd w:val="clear" w:color="auto" w:fill="FFFFFF"/>
        <w:spacing w:before="0" w:beforeAutospacing="0" w:after="0" w:afterAutospacing="0" w:line="580" w:lineRule="exact"/>
        <w:ind w:firstLine="643" w:firstLineChars="200"/>
        <w:rPr>
          <w:rFonts w:ascii="仿宋_GB2312" w:hAnsi="华文仿宋" w:eastAsia="仿宋_GB2312" w:cs="华文仿宋"/>
          <w:color w:val="auto"/>
          <w:kern w:val="2"/>
          <w:sz w:val="32"/>
          <w:szCs w:val="32"/>
        </w:rPr>
      </w:pPr>
      <w:r>
        <w:rPr>
          <w:rFonts w:hint="eastAsia" w:ascii="仿宋_GB2312" w:hAnsi="Times New Roman" w:eastAsia="仿宋_GB2312" w:cs="Times New Roman"/>
          <w:b/>
          <w:bCs/>
          <w:color w:val="auto"/>
          <w:kern w:val="2"/>
          <w:sz w:val="32"/>
          <w:szCs w:val="32"/>
        </w:rPr>
        <w:t>东部现代服务业示范区。</w:t>
      </w:r>
      <w:r>
        <w:rPr>
          <w:rFonts w:hint="eastAsia" w:ascii="仿宋_GB2312" w:hAnsi="华文仿宋" w:eastAsia="仿宋_GB2312" w:cs="华文仿宋"/>
          <w:color w:val="auto"/>
          <w:kern w:val="2"/>
          <w:sz w:val="32"/>
          <w:szCs w:val="32"/>
        </w:rPr>
        <w:t>以城乡一体化示范区为主体，建设区域性先进制造业和现代服务业深度融合基地。加快推进安阳机场、安阳高铁枢纽站等重大工程建设，实现机场、陆港、高铁枢纽高效对接，构建机场</w:t>
      </w:r>
      <w:r>
        <w:rPr>
          <w:rFonts w:ascii="仿宋_GB2312" w:hAnsi="华文仿宋" w:eastAsia="仿宋_GB2312" w:cs="华文仿宋"/>
          <w:color w:val="auto"/>
          <w:kern w:val="2"/>
          <w:sz w:val="32"/>
          <w:szCs w:val="32"/>
        </w:rPr>
        <w:t>—</w:t>
      </w:r>
      <w:r>
        <w:rPr>
          <w:rFonts w:hint="eastAsia" w:ascii="仿宋_GB2312" w:hAnsi="华文仿宋" w:eastAsia="仿宋_GB2312" w:cs="华文仿宋"/>
          <w:color w:val="auto"/>
          <w:kern w:val="2"/>
          <w:sz w:val="32"/>
          <w:szCs w:val="32"/>
        </w:rPr>
        <w:t>高铁枢纽经济带。依托新能源汽车、通用航空、智能制造、电子信息产业等先进制造业，大力发展汽车物流、电商物流、金融服务、高铁商务、科技创新、航空教育培训（航空运动）等服务业，打造安阳现代服务业创新发展新高地。</w:t>
      </w:r>
    </w:p>
    <w:p>
      <w:pPr>
        <w:pStyle w:val="13"/>
        <w:shd w:val="clear" w:color="auto" w:fill="FFFFFF"/>
        <w:spacing w:before="0" w:beforeAutospacing="0" w:after="0" w:afterAutospacing="0" w:line="580" w:lineRule="exact"/>
        <w:ind w:firstLine="643" w:firstLineChars="200"/>
        <w:rPr>
          <w:rFonts w:ascii="仿宋_GB2312" w:hAnsi="华文仿宋" w:eastAsia="仿宋_GB2312" w:cs="华文仿宋"/>
          <w:color w:val="auto"/>
          <w:kern w:val="2"/>
          <w:sz w:val="32"/>
          <w:szCs w:val="32"/>
        </w:rPr>
      </w:pPr>
      <w:r>
        <w:rPr>
          <w:rFonts w:hint="eastAsia" w:ascii="仿宋_GB2312" w:hAnsi="方正仿宋_GBK" w:eastAsia="仿宋_GB2312" w:cs="方正仿宋_GBK"/>
          <w:b/>
          <w:bCs/>
          <w:color w:val="auto"/>
          <w:kern w:val="2"/>
          <w:sz w:val="32"/>
          <w:szCs w:val="32"/>
        </w:rPr>
        <w:t>南部科技服务业创新引领区。</w:t>
      </w:r>
      <w:r>
        <w:rPr>
          <w:rFonts w:hint="eastAsia" w:ascii="仿宋_GB2312" w:hAnsi="华文仿宋" w:eastAsia="仿宋_GB2312" w:cs="华文仿宋"/>
          <w:color w:val="auto"/>
          <w:kern w:val="2"/>
          <w:sz w:val="32"/>
          <w:szCs w:val="32"/>
        </w:rPr>
        <w:t>依托安阳高新技术产业开发区，以研发设计、科技孵化、科技成果转化、检验检测、知识产权等服务体系建设为重点，深入实施创新驱动发展战略，推动区域创新链、价值链、金融链融合发展。加快建设众创空间、科技企业孵化器、大学科技园、双创基地等各类创新创业孵化平台，发挥火炬研发园、火炬创业园等载体科技服务作用，加速科技创新资源汇集，激发科技创新活力，打造区域科技研发孵化高地。</w:t>
      </w:r>
    </w:p>
    <w:p>
      <w:pPr>
        <w:pStyle w:val="13"/>
        <w:shd w:val="clear" w:color="auto" w:fill="FFFFFF"/>
        <w:spacing w:before="0" w:beforeAutospacing="0" w:after="0" w:afterAutospacing="0" w:line="580" w:lineRule="exact"/>
        <w:ind w:firstLine="643" w:firstLineChars="200"/>
        <w:jc w:val="both"/>
        <w:rPr>
          <w:rFonts w:ascii="仿宋_GB2312" w:hAnsi="华文仿宋" w:eastAsia="仿宋_GB2312" w:cs="华文仿宋"/>
          <w:color w:val="auto"/>
          <w:kern w:val="2"/>
          <w:sz w:val="32"/>
          <w:szCs w:val="32"/>
        </w:rPr>
      </w:pPr>
      <w:r>
        <w:rPr>
          <w:rFonts w:hint="eastAsia" w:ascii="仿宋_GB2312" w:hAnsi="方正仿宋_GBK" w:eastAsia="仿宋_GB2312" w:cs="方正仿宋_GBK"/>
          <w:b/>
          <w:bCs/>
          <w:color w:val="auto"/>
          <w:kern w:val="2"/>
          <w:sz w:val="32"/>
          <w:szCs w:val="32"/>
        </w:rPr>
        <w:t>西部生产性服务业转型区。</w:t>
      </w:r>
      <w:r>
        <w:rPr>
          <w:rFonts w:hint="eastAsia" w:ascii="仿宋_GB2312" w:hAnsi="华文仿宋" w:eastAsia="仿宋_GB2312" w:cs="华文仿宋"/>
          <w:color w:val="auto"/>
          <w:kern w:val="2"/>
          <w:sz w:val="32"/>
          <w:szCs w:val="32"/>
        </w:rPr>
        <w:t>支持钢铁、煤化工等工业龙头企业加快整合重组、减量提质，推进节能环保服务、绿色循环经济发展，积极拓展下游产品开发和发展集成服务，实现企业由提供产品向提供整体解决方案转变。鼓励发展个性化定制服务、全生命周期管理等新型制造模式，形成“制造</w:t>
      </w:r>
      <w:r>
        <w:rPr>
          <w:rFonts w:ascii="仿宋_GB2312" w:hAnsi="华文仿宋" w:eastAsia="仿宋_GB2312" w:cs="华文仿宋"/>
          <w:color w:val="auto"/>
          <w:kern w:val="2"/>
          <w:sz w:val="32"/>
          <w:szCs w:val="32"/>
        </w:rPr>
        <w:t>+</w:t>
      </w:r>
      <w:r>
        <w:rPr>
          <w:rFonts w:hint="eastAsia" w:ascii="仿宋_GB2312" w:hAnsi="华文仿宋" w:eastAsia="仿宋_GB2312" w:cs="华文仿宋"/>
          <w:color w:val="auto"/>
          <w:kern w:val="2"/>
          <w:sz w:val="32"/>
          <w:szCs w:val="32"/>
        </w:rPr>
        <w:t>物流</w:t>
      </w:r>
      <w:r>
        <w:rPr>
          <w:rFonts w:ascii="仿宋_GB2312" w:hAnsi="华文仿宋" w:eastAsia="仿宋_GB2312" w:cs="华文仿宋"/>
          <w:color w:val="auto"/>
          <w:kern w:val="2"/>
          <w:sz w:val="32"/>
          <w:szCs w:val="32"/>
        </w:rPr>
        <w:t>+</w:t>
      </w:r>
      <w:r>
        <w:rPr>
          <w:rFonts w:hint="eastAsia" w:ascii="仿宋_GB2312" w:hAnsi="华文仿宋" w:eastAsia="仿宋_GB2312" w:cs="华文仿宋"/>
          <w:color w:val="auto"/>
          <w:kern w:val="2"/>
          <w:sz w:val="32"/>
          <w:szCs w:val="32"/>
        </w:rPr>
        <w:t>服务”链式驱动，加快促进传统工业园区转型升级，形成产业共生、资源共享的互动发展格局。</w:t>
      </w:r>
    </w:p>
    <w:p>
      <w:pPr>
        <w:pStyle w:val="13"/>
        <w:shd w:val="clear" w:color="auto" w:fill="FFFFFF"/>
        <w:spacing w:before="0" w:beforeAutospacing="0" w:after="0" w:afterAutospacing="0" w:line="580" w:lineRule="exact"/>
        <w:ind w:firstLine="643" w:firstLineChars="200"/>
        <w:jc w:val="both"/>
        <w:rPr>
          <w:rFonts w:ascii="仿宋_GB2312" w:hAnsi="华文仿宋" w:eastAsia="仿宋_GB2312" w:cs="华文仿宋"/>
          <w:color w:val="auto"/>
          <w:kern w:val="2"/>
          <w:sz w:val="32"/>
          <w:szCs w:val="32"/>
        </w:rPr>
      </w:pPr>
      <w:r>
        <w:rPr>
          <w:rFonts w:hint="eastAsia" w:ascii="仿宋_GB2312" w:hAnsi="方正仿宋_GBK" w:eastAsia="仿宋_GB2312" w:cs="方正仿宋_GBK"/>
          <w:b/>
          <w:bCs/>
          <w:color w:val="auto"/>
          <w:kern w:val="2"/>
          <w:sz w:val="32"/>
          <w:szCs w:val="32"/>
        </w:rPr>
        <w:t>北部新兴服务业融合发展区。</w:t>
      </w:r>
      <w:r>
        <w:rPr>
          <w:rFonts w:hint="eastAsia" w:ascii="仿宋_GB2312" w:hAnsi="华文仿宋" w:eastAsia="仿宋_GB2312" w:cs="华文仿宋"/>
          <w:color w:val="auto"/>
          <w:kern w:val="2"/>
          <w:sz w:val="32"/>
          <w:szCs w:val="32"/>
        </w:rPr>
        <w:t>依托纺织服装产业基础优势，大力发展服装设计、童装创意、智慧仓储、跨境电商等产业，打造知名品牌服装加工基地、童装展贸基地、服装文化创意中心、电商物流基地、网络直播基地。依托无人机产业基础优势，完善</w:t>
      </w:r>
      <w:r>
        <w:rPr>
          <w:rFonts w:ascii="仿宋_GB2312" w:hAnsi="华文仿宋" w:eastAsia="仿宋_GB2312" w:cs="华文仿宋"/>
          <w:color w:val="auto"/>
          <w:kern w:val="2"/>
          <w:sz w:val="32"/>
          <w:szCs w:val="32"/>
        </w:rPr>
        <w:t>5G</w:t>
      </w:r>
      <w:r>
        <w:rPr>
          <w:rFonts w:hint="eastAsia" w:ascii="仿宋_GB2312" w:hAnsi="华文仿宋" w:eastAsia="仿宋_GB2312" w:cs="华文仿宋"/>
          <w:color w:val="auto"/>
          <w:kern w:val="2"/>
          <w:sz w:val="32"/>
          <w:szCs w:val="32"/>
        </w:rPr>
        <w:t>泛在低空测试基地、航空植保无人机资源协同云平台等服务功能，大力发展技术研发、检验检测、低空智联网、北斗应用，拓展农林植保、警用安防、电力巡检、影视拍摄、监测测绘等应用服务，壮大无人机服务产业。</w:t>
      </w:r>
    </w:p>
    <w:p>
      <w:pPr>
        <w:pStyle w:val="3"/>
        <w:spacing w:line="580" w:lineRule="exact"/>
        <w:rPr>
          <w:rFonts w:ascii="楷体_GB2312" w:hAnsi="华文楷体" w:eastAsia="楷体_GB2312" w:cs="华文楷体"/>
          <w:color w:val="auto"/>
        </w:rPr>
      </w:pPr>
      <w:bookmarkStart w:id="42" w:name="_Toc99813105"/>
      <w:r>
        <w:rPr>
          <w:rFonts w:ascii="楷体_GB2312" w:hAnsi="华文楷体" w:eastAsia="楷体_GB2312" w:cs="华文楷体"/>
          <w:color w:val="auto"/>
        </w:rPr>
        <w:t xml:space="preserve">    </w:t>
      </w:r>
      <w:r>
        <w:rPr>
          <w:rFonts w:hint="eastAsia" w:ascii="楷体_GB2312" w:hAnsi="华文楷体" w:eastAsia="楷体_GB2312" w:cs="华文楷体"/>
          <w:color w:val="auto"/>
        </w:rPr>
        <w:t>（四）多点支撑</w:t>
      </w:r>
      <w:bookmarkEnd w:id="42"/>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依托区域资源禀赋、功能特色、产业基础，布局若干标志性现代服务业集聚区，形成全域联动、多点支撑、特色发展的局面。依托殷墟国家考古遗址公园、安阳明清彰德古城、曹魏文化旅游区、彰武小南海文化旅游区、林州太行山休闲旅游度假区、汤阴三圣文化旅游景区、内黄农耕祭祖文化旅游区、滑县运河古镇等，建立具有区域影响力的文化旅游服务品牌；以安阳国家高新技术产业开发区、红旗渠国家经济技术开发区为核心，发挥国家级开发区的政策体制优势，大力发展科技服务业，建设科技服务创新基地；依托万庄公铁物流园、大通物流园、安阳象道物流园等物流园区建设，加快发展大宗商品物流、冷链物流、快递物流、电商物流，巩固提升国家陆港物流枢纽地位；立足我市农产品深加工发展优势，加快内黄果蔬城、汤阴县优质农产品精深加工科技园、红旗渠现代农业产业园、滑县光明奶制品加工园等现代农业产业园区建设，打造区域农产品供应服务中心。</w:t>
      </w:r>
    </w:p>
    <w:p>
      <w:pPr>
        <w:pStyle w:val="2"/>
        <w:spacing w:line="580" w:lineRule="exact"/>
        <w:jc w:val="both"/>
        <w:rPr>
          <w:rFonts w:ascii="黑体"/>
          <w:b w:val="0"/>
          <w:bCs w:val="0"/>
          <w:color w:val="auto"/>
        </w:rPr>
      </w:pPr>
      <w:bookmarkStart w:id="43" w:name="_Toc99813106"/>
      <w:r>
        <w:rPr>
          <w:rFonts w:ascii="黑体" w:hAnsi="黑体"/>
          <w:b w:val="0"/>
          <w:bCs w:val="0"/>
          <w:color w:val="auto"/>
        </w:rPr>
        <w:t xml:space="preserve">    </w:t>
      </w:r>
      <w:r>
        <w:rPr>
          <w:rFonts w:hint="eastAsia" w:ascii="黑体" w:hAnsi="黑体"/>
          <w:b w:val="0"/>
          <w:bCs w:val="0"/>
          <w:color w:val="auto"/>
        </w:rPr>
        <w:t>五、实施重点新工程</w:t>
      </w:r>
      <w:bookmarkEnd w:id="43"/>
    </w:p>
    <w:p>
      <w:pPr>
        <w:pStyle w:val="3"/>
        <w:spacing w:line="580" w:lineRule="exact"/>
        <w:rPr>
          <w:rFonts w:ascii="楷体_GB2312" w:hAnsi="华文楷体" w:eastAsia="楷体_GB2312" w:cs="华文楷体"/>
          <w:color w:val="auto"/>
        </w:rPr>
      </w:pPr>
      <w:bookmarkStart w:id="44" w:name="_Toc99813107"/>
      <w:r>
        <w:rPr>
          <w:rFonts w:ascii="楷体_GB2312" w:hAnsi="华文楷体" w:eastAsia="楷体_GB2312" w:cs="华文楷体"/>
          <w:color w:val="auto"/>
        </w:rPr>
        <w:t xml:space="preserve">    </w:t>
      </w:r>
      <w:r>
        <w:rPr>
          <w:rFonts w:hint="eastAsia" w:ascii="楷体_GB2312" w:hAnsi="华文楷体" w:eastAsia="楷体_GB2312" w:cs="华文楷体"/>
          <w:color w:val="auto"/>
        </w:rPr>
        <w:t>（一）产业融合工程</w:t>
      </w:r>
      <w:bookmarkEnd w:id="44"/>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、促进现代服务业与先进制造业融合</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引导制造业企业向附加值高的服务环节延伸，支持服务业企业向制造领域拓展，加快服务业与制造业双向融合。持续推进我市重点行业工业互联网平台培育，培育发展柔性化定制、服务衍生制造等以服务为主的反向制造，强化全生命周期管理和供应链管理，推动制造业生产环节组织调整和柔性化改造。发展服务衍生制造，鼓励电商、研发设计、文化旅游等服务企业，大力发展工业设计、智慧物流、品牌策划等高端服务，通过委托制造、品牌授权等方式向制造环节拓展。鼓励制造企业开展设施建设、检验检测、供应链管理、节能环保、专业维修等领域的总集成总承包、交钥匙工程、租赁外包等新业务，向一体化服务总集成总承包商转变。加强工业遗产保护利用，开发一批工业旅游产品。开展融合创新试点示范，争创省级先进制造业和现代服务业融合发展试点。</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、促进现代服务业与现代农业融合</w:t>
      </w:r>
    </w:p>
    <w:p>
      <w:pPr>
        <w:spacing w:line="580" w:lineRule="exact"/>
        <w:ind w:firstLine="640" w:firstLineChars="200"/>
        <w:rPr>
          <w:rFonts w:ascii="仿宋_GB2312" w:hAnsi="Times New Roman" w:eastAsia="仿宋_GB2312"/>
          <w:bCs/>
          <w:color w:val="auto"/>
          <w:sz w:val="32"/>
          <w:szCs w:val="32"/>
        </w:rPr>
      </w:pPr>
      <w:r>
        <w:rPr>
          <w:rFonts w:hint="eastAsia" w:ascii="仿宋_GB2312" w:hAnsi="华文仿宋" w:eastAsia="仿宋_GB2312" w:cs="华文仿宋"/>
          <w:color w:val="auto"/>
          <w:sz w:val="32"/>
          <w:szCs w:val="32"/>
        </w:rPr>
        <w:t>加快发展农业生产服务业，构建全程覆盖、区域集成的新型农业服务体系。大力发展农业生产技术服务、农机作业及维修服务、病虫害防治、农产品检验检测认证、农产品仓储保鲜技术服务、土壤环境监测、农业市场信息咨询、种质资源创新研发等专业化服务，积极发展智能农业、感知农业、精准农业等新兴业态。推动农村流通现代化，支持物流企业主动对接基层供销合作社、家庭农场、农民合作社、农业产业化龙头企业，实施“快递进村”工程，畅通农产品进城和工业品下乡渠道。积极开展农民合作社示范社和示范家庭农场创建，健全农业专业化社会化服务体系。拓展农业多种功能，促进农业与休闲旅游、教育文化、健康养生等深度融合，培育一批休闲农业和乡村旅游基地。</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41" w:type="dxa"/>
            <w:tcBorders>
              <w:top w:val="single" w:color="auto" w:sz="8" w:space="0"/>
            </w:tcBorders>
          </w:tcPr>
          <w:p>
            <w:pPr>
              <w:spacing w:line="520" w:lineRule="exact"/>
              <w:jc w:val="center"/>
              <w:rPr>
                <w:rFonts w:ascii="黑体" w:hAnsi="黑体" w:eastAsia="黑体"/>
                <w:color w:val="auto"/>
                <w:kern w:val="0"/>
                <w:sz w:val="24"/>
                <w:szCs w:val="24"/>
              </w:rPr>
            </w:pPr>
            <w:bookmarkStart w:id="45" w:name="_Hlk73719622"/>
            <w:r>
              <w:rPr>
                <w:rFonts w:hint="eastAsia" w:ascii="黑体" w:hAnsi="黑体" w:eastAsia="黑体"/>
                <w:color w:val="auto"/>
                <w:kern w:val="0"/>
                <w:sz w:val="24"/>
                <w:szCs w:val="24"/>
              </w:rPr>
              <w:t>专栏</w:t>
            </w:r>
            <w:r>
              <w:rPr>
                <w:rFonts w:ascii="黑体" w:hAnsi="黑体" w:eastAsia="黑体"/>
                <w:color w:val="auto"/>
                <w:kern w:val="0"/>
                <w:sz w:val="24"/>
                <w:szCs w:val="24"/>
              </w:rPr>
              <w:t xml:space="preserve">5.1  </w:t>
            </w:r>
            <w:r>
              <w:rPr>
                <w:rFonts w:hint="eastAsia" w:ascii="黑体" w:hAnsi="黑体" w:eastAsia="黑体"/>
                <w:color w:val="auto"/>
                <w:kern w:val="0"/>
                <w:sz w:val="24"/>
                <w:szCs w:val="24"/>
              </w:rPr>
              <w:t>产业融合工程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41" w:type="dxa"/>
            <w:tcBorders>
              <w:bottom w:val="single" w:color="auto" w:sz="8" w:space="0"/>
            </w:tcBorders>
          </w:tcPr>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现代服务业与先进制造业融合。</w:t>
            </w:r>
            <w:r>
              <w:rPr>
                <w:rFonts w:hint="eastAsia" w:ascii="宋体" w:hAnsi="宋体" w:cs="宋体"/>
                <w:color w:val="auto"/>
                <w:kern w:val="0"/>
                <w:sz w:val="24"/>
                <w:szCs w:val="24"/>
              </w:rPr>
              <w:t>实施工业互联网平台培育行动，在钢铁、煤焦化、装备制造、无人机、建材等重点行业，加快智能制造单元、智能生产线、数字化车间建设，全面提升企业数字化水平。到</w:t>
            </w:r>
            <w:r>
              <w:rPr>
                <w:rFonts w:ascii="宋体" w:hAnsi="宋体" w:cs="华文仿宋"/>
                <w:color w:val="auto"/>
                <w:kern w:val="0"/>
                <w:sz w:val="24"/>
                <w:szCs w:val="24"/>
              </w:rPr>
              <w:t>2025</w:t>
            </w:r>
            <w:r>
              <w:rPr>
                <w:rFonts w:hint="eastAsia" w:ascii="宋体" w:hAnsi="宋体" w:cs="宋体"/>
                <w:color w:val="auto"/>
                <w:kern w:val="0"/>
                <w:sz w:val="24"/>
                <w:szCs w:val="24"/>
              </w:rPr>
              <w:t>年，</w:t>
            </w:r>
            <w:r>
              <w:rPr>
                <w:rFonts w:hint="eastAsia" w:ascii="宋体" w:hAnsi="宋体" w:cs="宋体"/>
                <w:color w:val="auto"/>
                <w:kern w:val="0"/>
                <w:sz w:val="24"/>
                <w:szCs w:val="24"/>
              </w:rPr>
              <w:t>市级以上示范智能工厂（车间）</w:t>
            </w:r>
            <w:r>
              <w:rPr>
                <w:rFonts w:hint="eastAsia" w:ascii="宋体" w:hAnsi="宋体" w:cs="宋体"/>
                <w:color w:val="auto"/>
                <w:kern w:val="0"/>
                <w:sz w:val="24"/>
                <w:szCs w:val="24"/>
                <w:lang w:eastAsia="zh-CN"/>
              </w:rPr>
              <w:t>达到</w:t>
            </w:r>
            <w:r>
              <w:rPr>
                <w:rFonts w:hint="eastAsia" w:ascii="宋体" w:hAnsi="宋体" w:cs="宋体"/>
                <w:color w:val="auto"/>
                <w:kern w:val="0"/>
                <w:sz w:val="24"/>
                <w:szCs w:val="24"/>
                <w:lang w:val="en-US" w:eastAsia="zh-CN"/>
              </w:rPr>
              <w:t>45</w:t>
            </w:r>
            <w:r>
              <w:rPr>
                <w:rFonts w:hint="eastAsia" w:ascii="宋体" w:hAnsi="宋体" w:cs="宋体"/>
                <w:color w:val="auto"/>
                <w:kern w:val="0"/>
                <w:sz w:val="24"/>
                <w:szCs w:val="24"/>
              </w:rPr>
              <w:t>个，</w:t>
            </w:r>
            <w:r>
              <w:rPr>
                <w:rFonts w:hint="eastAsia" w:ascii="宋体" w:hAnsi="宋体" w:cs="宋体"/>
                <w:color w:val="auto"/>
                <w:kern w:val="0"/>
                <w:sz w:val="24"/>
                <w:szCs w:val="24"/>
              </w:rPr>
              <w:t>打造</w:t>
            </w:r>
            <w:r>
              <w:rPr>
                <w:rFonts w:ascii="宋体" w:hAnsi="宋体" w:cs="华文仿宋"/>
                <w:color w:val="auto"/>
                <w:kern w:val="0"/>
                <w:sz w:val="24"/>
                <w:szCs w:val="24"/>
              </w:rPr>
              <w:t>10</w:t>
            </w:r>
            <w:r>
              <w:rPr>
                <w:rFonts w:hint="eastAsia" w:ascii="宋体" w:hAnsi="宋体" w:cs="宋体"/>
                <w:color w:val="auto"/>
                <w:kern w:val="0"/>
                <w:sz w:val="24"/>
                <w:szCs w:val="24"/>
              </w:rPr>
              <w:t>个以上工业互联网示范平台，构建覆盖重点行业的工业互联网平台体系。</w:t>
            </w:r>
          </w:p>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现代服务业与现代农业融合。</w:t>
            </w:r>
            <w:r>
              <w:rPr>
                <w:rFonts w:hint="eastAsia" w:ascii="宋体" w:hAnsi="宋体" w:cs="宋体"/>
                <w:color w:val="auto"/>
                <w:kern w:val="0"/>
                <w:sz w:val="24"/>
                <w:szCs w:val="24"/>
              </w:rPr>
              <w:t>加快建设林州红旗渠现代农业产业园、汤阴县优质农产品精深加工科技园、滑县三科智慧农商城、内黄县农副产品深加工园等，推动建立农产品生产、加工、包装、仓储、流通、销售的全产业链发展模式。新建和改造一批具备快递功能的乡村电商服务站（点），支持内黄县、滑县等地创建区域新型农产品骨干冷链物流基地。到</w:t>
            </w:r>
            <w:r>
              <w:rPr>
                <w:rFonts w:ascii="宋体" w:hAnsi="宋体" w:cs="华文仿宋"/>
                <w:color w:val="auto"/>
                <w:kern w:val="0"/>
                <w:sz w:val="24"/>
                <w:szCs w:val="24"/>
              </w:rPr>
              <w:t>2025</w:t>
            </w:r>
            <w:r>
              <w:rPr>
                <w:rFonts w:hint="eastAsia" w:ascii="宋体" w:hAnsi="宋体" w:cs="宋体"/>
                <w:color w:val="auto"/>
                <w:kern w:val="0"/>
                <w:sz w:val="24"/>
                <w:szCs w:val="24"/>
              </w:rPr>
              <w:t>年，创建</w:t>
            </w:r>
            <w:r>
              <w:rPr>
                <w:rFonts w:ascii="宋体" w:hAnsi="宋体" w:cs="华文仿宋"/>
                <w:color w:val="auto"/>
                <w:kern w:val="0"/>
                <w:sz w:val="24"/>
                <w:szCs w:val="24"/>
              </w:rPr>
              <w:t>5</w:t>
            </w:r>
            <w:r>
              <w:rPr>
                <w:rFonts w:hint="eastAsia" w:ascii="宋体" w:hAnsi="宋体" w:cs="宋体"/>
                <w:color w:val="auto"/>
                <w:kern w:val="0"/>
                <w:sz w:val="24"/>
                <w:szCs w:val="24"/>
              </w:rPr>
              <w:t>个左右省级现代农业产业园，</w:t>
            </w:r>
            <w:r>
              <w:rPr>
                <w:rFonts w:hint="eastAsia" w:ascii="宋体" w:hAnsi="宋体" w:cs="宋体"/>
                <w:color w:val="auto"/>
                <w:kern w:val="0"/>
                <w:sz w:val="24"/>
                <w:szCs w:val="24"/>
                <w:lang w:val="zh-CN"/>
              </w:rPr>
              <w:t>农民合作社发展到</w:t>
            </w:r>
            <w:r>
              <w:rPr>
                <w:rFonts w:ascii="宋体" w:hAnsi="宋体" w:cs="华文仿宋"/>
                <w:color w:val="auto"/>
                <w:kern w:val="0"/>
                <w:sz w:val="24"/>
                <w:szCs w:val="24"/>
              </w:rPr>
              <w:t>10000</w:t>
            </w:r>
            <w:r>
              <w:rPr>
                <w:rFonts w:hint="eastAsia" w:ascii="宋体" w:hAnsi="宋体" w:cs="宋体"/>
                <w:color w:val="auto"/>
                <w:kern w:val="0"/>
                <w:sz w:val="24"/>
                <w:szCs w:val="24"/>
                <w:lang w:val="zh-CN"/>
              </w:rPr>
              <w:t>家以上、家庭农场达到</w:t>
            </w:r>
            <w:r>
              <w:rPr>
                <w:rFonts w:ascii="宋体" w:hAnsi="宋体" w:cs="华文仿宋"/>
                <w:color w:val="auto"/>
                <w:kern w:val="0"/>
                <w:sz w:val="24"/>
                <w:szCs w:val="24"/>
              </w:rPr>
              <w:t>3000</w:t>
            </w:r>
            <w:r>
              <w:rPr>
                <w:rFonts w:hint="eastAsia" w:ascii="宋体" w:hAnsi="宋体" w:cs="宋体"/>
                <w:color w:val="auto"/>
                <w:kern w:val="0"/>
                <w:sz w:val="24"/>
                <w:szCs w:val="24"/>
                <w:lang w:val="zh-CN"/>
              </w:rPr>
              <w:t>家左右。</w:t>
            </w:r>
          </w:p>
        </w:tc>
      </w:tr>
      <w:bookmarkEnd w:id="45"/>
    </w:tbl>
    <w:p>
      <w:pPr>
        <w:pStyle w:val="3"/>
        <w:spacing w:line="580" w:lineRule="exact"/>
        <w:rPr>
          <w:rFonts w:ascii="楷体_GB2312" w:hAnsi="华文楷体" w:eastAsia="楷体_GB2312" w:cs="华文楷体"/>
          <w:color w:val="auto"/>
        </w:rPr>
      </w:pPr>
      <w:bookmarkStart w:id="46" w:name="_Toc99813108"/>
      <w:r>
        <w:rPr>
          <w:rFonts w:ascii="楷体_GB2312" w:hAnsi="华文楷体" w:eastAsia="楷体_GB2312" w:cs="华文楷体"/>
          <w:color w:val="auto"/>
        </w:rPr>
        <w:t xml:space="preserve">    </w:t>
      </w:r>
      <w:r>
        <w:rPr>
          <w:rFonts w:hint="eastAsia" w:ascii="楷体_GB2312" w:hAnsi="华文楷体" w:eastAsia="楷体_GB2312" w:cs="华文楷体"/>
          <w:color w:val="auto"/>
        </w:rPr>
        <w:t>（二）数字赋能工程</w:t>
      </w:r>
      <w:bookmarkEnd w:id="46"/>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、加快生产服务数字技术改造</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充分运用大数据、云计算、人工智能、区块链等数字技术改造服务行业，鼓励开发一批创新性强、应用效果好、市场前景广阔的数字化转型共性解决方案，加快数字技术、智能制造技术在生产性服务领域的全面应用，加速研发设计、检验检测、商务服务、人力资源服务、物流服务等生产性服务业的数字化，引导服务业企业“上云用数赋智”，推动生产性服务业的数字化、专业化、规模化、高端化发展。</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、深化生活服务数字化转型</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推动互联网、移动互联网、移动智能终端与民生服务的深度融合，丰富旅游、健康、养老、教育等服务产品供给。大力发展新零食、生鲜电商、线上娱乐、视频会议、远程办公、远程医疗等数字消费服务，推动生活消费方式向智能型转变。选择一批经营基础好、技术接受程度高的商圈、步行街等，打造数字化转型实验区、示范区，通过试点示范带动生活服务业企业的数字化转型。</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、鼓励业态模式创新</w:t>
      </w:r>
    </w:p>
    <w:p>
      <w:pPr>
        <w:spacing w:line="580" w:lineRule="exact"/>
        <w:ind w:firstLine="640" w:firstLineChars="200"/>
        <w:rPr>
          <w:rFonts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积极利用数字技术，培育发展新兴业态及商业模式创新，支持共享经济、平台经济、体验经济、直播经济发展。引导各类市场主体探索完善住宿、餐饮、交通、教育、物流、医疗、养老等行业的共享模式。建设一批集协同应用、协同制造、个性化定制、在线智能信息服务、检验检测等功能于一体的工业服务平台。推动殷墟、红旗渠等旅游景点建设数字化体验产品，丰富游客体验内容。引导商贸服务行业向数字化、可视化、智能化、社交化方向发展，大力发展直播带货，鼓励安阳工学院、安阳师范学院、安阳职业技术学院等院校设立直播电商培训、主播孵化等专业课程，培育和塑造网络直播人才。</w:t>
      </w:r>
    </w:p>
    <w:tbl>
      <w:tblPr>
        <w:tblStyle w:val="16"/>
        <w:tblW w:w="87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786" w:type="dxa"/>
            <w:tcBorders>
              <w:top w:val="single" w:color="auto" w:sz="8" w:space="0"/>
            </w:tcBorders>
          </w:tcPr>
          <w:p>
            <w:pPr>
              <w:spacing w:line="520" w:lineRule="exact"/>
              <w:jc w:val="center"/>
              <w:rPr>
                <w:rFonts w:ascii="黑体" w:hAnsi="黑体" w:eastAsia="黑体"/>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5.2  </w:t>
            </w:r>
            <w:r>
              <w:rPr>
                <w:rFonts w:hint="eastAsia" w:ascii="黑体" w:hAnsi="黑体" w:eastAsia="黑体"/>
                <w:color w:val="auto"/>
                <w:kern w:val="0"/>
                <w:sz w:val="24"/>
                <w:szCs w:val="24"/>
              </w:rPr>
              <w:t>数字赋能工程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88" w:hRule="atLeast"/>
          <w:jc w:val="center"/>
        </w:trPr>
        <w:tc>
          <w:tcPr>
            <w:tcW w:w="8786" w:type="dxa"/>
            <w:tcBorders>
              <w:bottom w:val="single" w:color="auto" w:sz="8" w:space="0"/>
            </w:tcBorders>
          </w:tcPr>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智慧物流。</w:t>
            </w:r>
            <w:r>
              <w:rPr>
                <w:rFonts w:hint="eastAsia" w:ascii="宋体" w:hAnsi="宋体" w:cs="宋体"/>
                <w:color w:val="auto"/>
                <w:kern w:val="0"/>
                <w:sz w:val="24"/>
                <w:szCs w:val="24"/>
              </w:rPr>
              <w:t>搭建全市多式联运信息公共服务平台，推动实现多式联运全景展示、货运统计、信息共享等功能服务。在示范物流园区积极推广物联网技术，推动传统仓储向立体仓储、智能仓储转型，建设一批智慧物流配送中心。支持建设</w:t>
            </w:r>
            <w:r>
              <w:rPr>
                <w:rFonts w:hint="eastAsia" w:ascii="宋体"/>
                <w:color w:val="auto"/>
                <w:kern w:val="0"/>
                <w:sz w:val="24"/>
                <w:szCs w:val="24"/>
              </w:rPr>
              <w:t>“</w:t>
            </w:r>
            <w:r>
              <w:rPr>
                <w:rFonts w:hint="eastAsia" w:ascii="宋体" w:hAnsi="宋体" w:cs="宋体"/>
                <w:color w:val="auto"/>
                <w:kern w:val="0"/>
                <w:sz w:val="24"/>
                <w:szCs w:val="24"/>
              </w:rPr>
              <w:t>互联网</w:t>
            </w:r>
            <w:r>
              <w:rPr>
                <w:rFonts w:ascii="宋体" w:hAnsi="宋体"/>
                <w:color w:val="auto"/>
                <w:kern w:val="0"/>
                <w:sz w:val="24"/>
                <w:szCs w:val="24"/>
              </w:rPr>
              <w:t>+</w:t>
            </w:r>
            <w:r>
              <w:rPr>
                <w:rFonts w:hint="eastAsia" w:ascii="宋体" w:hAnsi="宋体"/>
                <w:color w:val="auto"/>
                <w:kern w:val="0"/>
                <w:sz w:val="24"/>
                <w:szCs w:val="24"/>
              </w:rPr>
              <w:t>”</w:t>
            </w:r>
            <w:r>
              <w:rPr>
                <w:rFonts w:hint="eastAsia" w:ascii="宋体" w:hAnsi="宋体" w:cs="宋体"/>
                <w:color w:val="auto"/>
                <w:kern w:val="0"/>
                <w:sz w:val="24"/>
                <w:szCs w:val="24"/>
              </w:rPr>
              <w:t>车货交易平台、网络货运平台等，推动物流供需和运输资源精准对接、有效集成。</w:t>
            </w:r>
          </w:p>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智慧文旅。</w:t>
            </w:r>
            <w:r>
              <w:rPr>
                <w:rFonts w:hint="eastAsia" w:ascii="宋体" w:hAnsi="宋体" w:cs="宋体"/>
                <w:color w:val="auto"/>
                <w:kern w:val="0"/>
                <w:sz w:val="24"/>
                <w:szCs w:val="24"/>
              </w:rPr>
              <w:t>实施文旅资源数字化提升计划，发展旅游直播、云演艺、云展览，推动</w:t>
            </w:r>
            <w:r>
              <w:rPr>
                <w:rFonts w:ascii="宋体" w:hAnsi="宋体" w:cs="华文仿宋"/>
                <w:color w:val="auto"/>
                <w:kern w:val="0"/>
                <w:sz w:val="24"/>
                <w:szCs w:val="24"/>
              </w:rPr>
              <w:t>A</w:t>
            </w:r>
            <w:r>
              <w:rPr>
                <w:rFonts w:hint="eastAsia" w:ascii="宋体" w:hAnsi="宋体" w:cs="宋体"/>
                <w:color w:val="auto"/>
                <w:kern w:val="0"/>
                <w:sz w:val="24"/>
                <w:szCs w:val="24"/>
              </w:rPr>
              <w:t>级以上景区全部实现在线预约预订服务，</w:t>
            </w:r>
            <w:r>
              <w:rPr>
                <w:rFonts w:ascii="宋体" w:hAnsi="宋体" w:cs="华文仿宋"/>
                <w:color w:val="auto"/>
                <w:kern w:val="0"/>
                <w:sz w:val="24"/>
                <w:szCs w:val="24"/>
              </w:rPr>
              <w:t>4A</w:t>
            </w:r>
            <w:r>
              <w:rPr>
                <w:rFonts w:hint="eastAsia" w:ascii="宋体" w:hAnsi="宋体" w:cs="宋体"/>
                <w:color w:val="auto"/>
                <w:kern w:val="0"/>
                <w:sz w:val="24"/>
                <w:szCs w:val="24"/>
              </w:rPr>
              <w:t>级以上景区全部建成钻级智慧景区。</w:t>
            </w:r>
          </w:p>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智慧健康。</w:t>
            </w:r>
            <w:r>
              <w:rPr>
                <w:rFonts w:hint="eastAsia" w:ascii="宋体" w:hAnsi="宋体" w:cs="宋体"/>
                <w:color w:val="auto"/>
                <w:kern w:val="0"/>
                <w:sz w:val="24"/>
                <w:szCs w:val="24"/>
              </w:rPr>
              <w:t>积极发展在线医疗、智慧医疗，支持三级以上医院率先开展</w:t>
            </w:r>
            <w:r>
              <w:rPr>
                <w:rFonts w:ascii="宋体" w:hAnsi="宋体" w:cs="华文仿宋"/>
                <w:color w:val="auto"/>
                <w:kern w:val="0"/>
                <w:sz w:val="24"/>
                <w:szCs w:val="24"/>
              </w:rPr>
              <w:t>5G+</w:t>
            </w:r>
            <w:r>
              <w:rPr>
                <w:rFonts w:hint="eastAsia" w:ascii="宋体" w:hAnsi="宋体" w:cs="宋体"/>
                <w:color w:val="auto"/>
                <w:kern w:val="0"/>
                <w:sz w:val="24"/>
                <w:szCs w:val="24"/>
              </w:rPr>
              <w:t>智慧医疗示范，开展覆盖全生命周期的预防、治疗、康复和健康管理一体化智慧健康服务。升级改造居民健康信息平台，实现居民在区域内不同医疗机构看病就医、费用结算、诊疗信息存储等数据互联互通。</w:t>
            </w:r>
          </w:p>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智慧养老。</w:t>
            </w:r>
            <w:r>
              <w:rPr>
                <w:rFonts w:hint="eastAsia" w:ascii="宋体" w:hAnsi="宋体" w:cs="宋体"/>
                <w:color w:val="auto"/>
                <w:kern w:val="0"/>
                <w:sz w:val="24"/>
                <w:szCs w:val="24"/>
              </w:rPr>
              <w:t>建设完善市智慧养老服务平台，创新慢性病管理、居家健康养老、个性化健康管理、互联网健康咨询等服务方式。促进养老与户籍、医疗、社会保险、社会救助等信息资源有效对接，运用互联网和生物识别技术，建立老年人补贴远程申报审核机制。</w:t>
            </w:r>
          </w:p>
          <w:p>
            <w:pPr>
              <w:snapToGrid w:val="0"/>
              <w:spacing w:line="520" w:lineRule="exact"/>
              <w:ind w:firstLine="482" w:firstLineChars="200"/>
              <w:rPr>
                <w:rFonts w:ascii="Times New Roman" w:hAnsi="Times New Roman" w:eastAsia="仿宋"/>
                <w:color w:val="auto"/>
                <w:kern w:val="0"/>
                <w:sz w:val="24"/>
                <w:szCs w:val="24"/>
              </w:rPr>
            </w:pPr>
            <w:r>
              <w:rPr>
                <w:rFonts w:hint="eastAsia" w:ascii="宋体" w:hAnsi="宋体" w:cs="宋体"/>
                <w:b/>
                <w:bCs/>
                <w:color w:val="auto"/>
                <w:kern w:val="0"/>
                <w:sz w:val="24"/>
                <w:szCs w:val="24"/>
              </w:rPr>
              <w:t>智慧教育。</w:t>
            </w:r>
            <w:r>
              <w:rPr>
                <w:rFonts w:hint="eastAsia" w:ascii="宋体" w:hAnsi="宋体" w:eastAsia="宋体" w:cs="宋体"/>
                <w:bCs/>
                <w:color w:val="auto"/>
                <w:kern w:val="0"/>
                <w:sz w:val="24"/>
                <w:szCs w:val="24"/>
              </w:rPr>
              <w:t>建设市级智慧教育大平台，对接线上线下优质教育资源，大力发展在线教育和远程培训。</w:t>
            </w:r>
            <w:r>
              <w:rPr>
                <w:rFonts w:hint="eastAsia" w:ascii="宋体" w:hAnsi="宋体" w:cs="宋体"/>
                <w:bCs/>
                <w:color w:val="auto"/>
                <w:kern w:val="0"/>
                <w:sz w:val="24"/>
                <w:szCs w:val="24"/>
              </w:rPr>
              <w:t>支持互联网企业与教育机构深度合作，拓展智能化、交互式在线教育模式，开展基于线上智能环境的课堂教学等试点。</w:t>
            </w:r>
          </w:p>
        </w:tc>
      </w:tr>
    </w:tbl>
    <w:p>
      <w:pPr>
        <w:pStyle w:val="3"/>
        <w:spacing w:line="580" w:lineRule="exact"/>
        <w:rPr>
          <w:rFonts w:ascii="楷体_GB2312" w:eastAsia="楷体_GB2312"/>
          <w:bCs w:val="0"/>
          <w:color w:val="auto"/>
        </w:rPr>
      </w:pPr>
      <w:bookmarkStart w:id="47" w:name="_Toc99813109"/>
      <w:r>
        <w:rPr>
          <w:rFonts w:ascii="楷体_GB2312" w:eastAsia="楷体_GB2312"/>
          <w:bCs w:val="0"/>
          <w:color w:val="auto"/>
        </w:rPr>
        <w:t xml:space="preserve">    </w:t>
      </w:r>
      <w:r>
        <w:rPr>
          <w:rFonts w:hint="eastAsia" w:ascii="楷体_GB2312" w:eastAsia="楷体_GB2312"/>
          <w:bCs w:val="0"/>
          <w:color w:val="auto"/>
        </w:rPr>
        <w:t>（三）重大载体工程</w:t>
      </w:r>
      <w:bookmarkEnd w:id="47"/>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、加快服务业集群建设</w:t>
      </w:r>
    </w:p>
    <w:p>
      <w:pPr>
        <w:pStyle w:val="13"/>
        <w:shd w:val="clear" w:color="auto" w:fill="FFFFFF"/>
        <w:spacing w:before="0" w:beforeAutospacing="0" w:after="0" w:afterAutospacing="0" w:line="580" w:lineRule="exact"/>
        <w:ind w:firstLine="640" w:firstLineChars="200"/>
        <w:jc w:val="both"/>
        <w:rPr>
          <w:rFonts w:ascii="仿宋_GB2312" w:hAnsi="Times New Roman" w:eastAsia="仿宋_GB2312"/>
          <w:color w:val="auto"/>
          <w:sz w:val="32"/>
          <w:szCs w:val="32"/>
        </w:rPr>
      </w:pPr>
      <w:r>
        <w:rPr>
          <w:rFonts w:hint="eastAsia" w:ascii="仿宋_GB2312" w:hAnsi="华文仿宋" w:eastAsia="仿宋_GB2312" w:cs="华文仿宋"/>
          <w:color w:val="auto"/>
          <w:kern w:val="2"/>
          <w:sz w:val="32"/>
          <w:szCs w:val="32"/>
        </w:rPr>
        <w:t>聚焦生产性服务业集聚发展，以中介服务、现代物流、市场交易为主要内容，外引内培、引育结合，建设一批与先进制造业开发区协作联动的现代服务业集群。推动商务中心区高端化发展，大力发展总部经济和楼宇经济，吸引集聚商务咨询、法律会计、科技服务、信息服务、检验检测等服务业企业，打造一批支撑区域主导产业发展和融合创新发展的载体，形成一批“千万楼宇”。推动现代物流产业园特色化发展，围绕建设陆港型国家物流枢纽，大力发展供应链物流、冷链物流、快递物流、电商物流、保税物流等业态，构建区域物流中心。推动市场交易产业园信息化发展，完善钢材、粮食、农产品、建材等市场功能，推动线上线下融合发展，打造区域影响力的商品集散中心和采购中心。依托纺织服装、装备制造、文化旅游等产业，对接高端创新资源，打造一批科技创新、电商服务、旅游休闲等新兴专业园区。</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、强化重点企业培育</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大对服务业大、中、小、微各类企业的培育力度，以安阳有需要、市场有需求的服务业领域为重点，聚焦现代物流、科技信息、商务中介、文化旅游等行业，积极推进服务业“万人助万企”行动，支持重点企业瞄准产业链关键环节和核心技术实施兼并重组，加快产业链关键资源整合，培育一批“链主”企业和生态主导型企业。支持市场前景好、综合效益高、核心竞争力强的服务业企业上市（挂牌）。促进中小企业向“专精特优”方向发展，推动企业“个转企、小升规、规改股、股上市”，不断壮大市场主体规模。</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、推进重大项目建设</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搭建市级现代服务业重大项目库，按照“谋划储备一批、开工建设一批、建成投产一批”的重点项目分阶段推进要求，建立动态调整、滚动推进实施机制，加快重点项目建成投产。强化项目建设全过程管理，推进项目精益管理，提高项目建设的协调服务水平。加大产业链招商力度，聚焦四大千亿主导产业，策划和引进一批产业链上下游关联服务业项目。创新招商推介方式，吸引更多央企国企、国内外</w:t>
      </w:r>
      <w:r>
        <w:rPr>
          <w:rFonts w:ascii="仿宋_GB2312" w:hAnsi="方正仿宋_GBK" w:eastAsia="仿宋_GB2312" w:cs="方正仿宋_GBK"/>
          <w:color w:val="auto"/>
          <w:sz w:val="32"/>
          <w:szCs w:val="32"/>
        </w:rPr>
        <w:t>500</w:t>
      </w:r>
      <w:r>
        <w:rPr>
          <w:rFonts w:hint="eastAsia" w:ascii="仿宋_GB2312" w:hAnsi="方正仿宋_GBK" w:eastAsia="仿宋_GB2312" w:cs="方正仿宋_GBK"/>
          <w:color w:val="auto"/>
          <w:sz w:val="32"/>
          <w:szCs w:val="32"/>
        </w:rPr>
        <w:t>强、行业领军企业在安阳布局发展服务业。</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715" w:type="dxa"/>
            <w:tcBorders>
              <w:top w:val="single" w:color="auto" w:sz="8" w:space="0"/>
            </w:tcBorders>
          </w:tcPr>
          <w:p>
            <w:pPr>
              <w:spacing w:line="520" w:lineRule="exact"/>
              <w:jc w:val="center"/>
              <w:rPr>
                <w:rFonts w:ascii="黑体" w:hAnsi="黑体" w:eastAsia="黑体"/>
                <w:color w:val="auto"/>
                <w:kern w:val="0"/>
                <w:sz w:val="24"/>
                <w:szCs w:val="20"/>
              </w:rPr>
            </w:pPr>
            <w:r>
              <w:rPr>
                <w:rFonts w:hint="eastAsia" w:ascii="黑体" w:hAnsi="黑体" w:eastAsia="黑体"/>
                <w:color w:val="auto"/>
                <w:kern w:val="0"/>
                <w:sz w:val="24"/>
                <w:szCs w:val="20"/>
              </w:rPr>
              <w:t>专栏</w:t>
            </w:r>
            <w:r>
              <w:rPr>
                <w:rFonts w:ascii="黑体" w:hAnsi="黑体" w:eastAsia="黑体"/>
                <w:color w:val="auto"/>
                <w:kern w:val="0"/>
                <w:sz w:val="24"/>
                <w:szCs w:val="20"/>
              </w:rPr>
              <w:t xml:space="preserve">5.3  </w:t>
            </w:r>
            <w:r>
              <w:rPr>
                <w:rFonts w:hint="eastAsia" w:ascii="黑体" w:hAnsi="黑体" w:eastAsia="黑体"/>
                <w:color w:val="auto"/>
                <w:kern w:val="0"/>
                <w:sz w:val="24"/>
                <w:szCs w:val="20"/>
              </w:rPr>
              <w:t>重大载体工程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715" w:type="dxa"/>
            <w:tcBorders>
              <w:bottom w:val="single" w:color="auto" w:sz="8" w:space="0"/>
            </w:tcBorders>
          </w:tcPr>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重点特色集群提升。</w:t>
            </w:r>
            <w:r>
              <w:rPr>
                <w:rFonts w:hint="eastAsia" w:ascii="宋体" w:hAnsi="宋体" w:cs="宋体"/>
                <w:color w:val="auto"/>
                <w:kern w:val="0"/>
                <w:sz w:val="24"/>
                <w:szCs w:val="24"/>
              </w:rPr>
              <w:t>优化提升市商务中心区、特色商业街区、科技创新服务园区、市场交易产业园、现代物流园区等主要服务业载体，强化与先进制造业开发区协作联动，推动服务业载体扩容提质。到</w:t>
            </w:r>
            <w:r>
              <w:rPr>
                <w:rFonts w:ascii="宋体" w:hAnsi="宋体" w:cs="华文仿宋"/>
                <w:color w:val="auto"/>
                <w:kern w:val="0"/>
                <w:sz w:val="24"/>
                <w:szCs w:val="24"/>
              </w:rPr>
              <w:t>2025</w:t>
            </w:r>
            <w:r>
              <w:rPr>
                <w:rFonts w:hint="eastAsia" w:ascii="宋体" w:hAnsi="宋体" w:cs="宋体"/>
                <w:color w:val="auto"/>
                <w:kern w:val="0"/>
                <w:sz w:val="24"/>
                <w:szCs w:val="24"/>
              </w:rPr>
              <w:t>年，主要服务业载体入住企业</w:t>
            </w:r>
            <w:r>
              <w:rPr>
                <w:rFonts w:ascii="宋体" w:hAnsi="宋体" w:cs="华文仿宋"/>
                <w:color w:val="auto"/>
                <w:kern w:val="0"/>
                <w:sz w:val="24"/>
                <w:szCs w:val="24"/>
              </w:rPr>
              <w:t>2000</w:t>
            </w:r>
            <w:r>
              <w:rPr>
                <w:rFonts w:hint="eastAsia" w:ascii="宋体" w:hAnsi="宋体" w:cs="宋体"/>
                <w:color w:val="auto"/>
                <w:kern w:val="0"/>
                <w:sz w:val="24"/>
                <w:szCs w:val="24"/>
              </w:rPr>
              <w:t>家以上，从业人员达到</w:t>
            </w:r>
            <w:r>
              <w:rPr>
                <w:rFonts w:ascii="宋体" w:hAnsi="宋体" w:cs="华文仿宋"/>
                <w:color w:val="auto"/>
                <w:kern w:val="0"/>
                <w:sz w:val="24"/>
                <w:szCs w:val="24"/>
              </w:rPr>
              <w:t>3</w:t>
            </w:r>
            <w:r>
              <w:rPr>
                <w:rFonts w:hint="eastAsia" w:ascii="宋体" w:hAnsi="宋体" w:cs="宋体"/>
                <w:color w:val="auto"/>
                <w:kern w:val="0"/>
                <w:sz w:val="24"/>
                <w:szCs w:val="24"/>
              </w:rPr>
              <w:t>万人以上。</w:t>
            </w:r>
          </w:p>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新兴服务业园区培育。</w:t>
            </w:r>
            <w:r>
              <w:rPr>
                <w:rFonts w:hint="eastAsia" w:ascii="宋体" w:hAnsi="宋体" w:cs="宋体"/>
                <w:color w:val="auto"/>
                <w:kern w:val="0"/>
                <w:sz w:val="24"/>
                <w:szCs w:val="24"/>
              </w:rPr>
              <w:t>安阳市大学科技园、内黄县农产品绿色科技产业园、龙安区花卉苗木博览园、滑县百亿级齿科产业园、柏庄新型电商产业园、周易文化产业园、安阳市健康医养产业园、万庄期货要素产业园。</w:t>
            </w:r>
          </w:p>
          <w:p>
            <w:pPr>
              <w:snapToGrid w:val="0"/>
              <w:spacing w:line="520" w:lineRule="exact"/>
              <w:ind w:firstLine="482" w:firstLineChars="200"/>
              <w:rPr>
                <w:rFonts w:ascii="宋体"/>
                <w:b/>
                <w:color w:val="auto"/>
                <w:kern w:val="0"/>
                <w:sz w:val="24"/>
                <w:szCs w:val="24"/>
              </w:rPr>
            </w:pPr>
            <w:r>
              <w:rPr>
                <w:rFonts w:hint="eastAsia" w:ascii="宋体" w:hAnsi="宋体" w:cs="宋体"/>
                <w:b/>
                <w:color w:val="auto"/>
                <w:kern w:val="0"/>
                <w:sz w:val="24"/>
                <w:szCs w:val="24"/>
              </w:rPr>
              <w:t>重点项目建设。</w:t>
            </w:r>
            <w:r>
              <w:rPr>
                <w:rFonts w:hint="eastAsia" w:ascii="宋体"/>
                <w:color w:val="auto"/>
                <w:kern w:val="0"/>
                <w:sz w:val="24"/>
                <w:szCs w:val="24"/>
              </w:rPr>
              <w:t>“</w:t>
            </w:r>
            <w:r>
              <w:rPr>
                <w:rFonts w:hint="eastAsia" w:ascii="宋体" w:hAnsi="宋体" w:cs="宋体"/>
                <w:color w:val="auto"/>
                <w:kern w:val="0"/>
                <w:sz w:val="24"/>
                <w:szCs w:val="24"/>
              </w:rPr>
              <w:t>十四五</w:t>
            </w:r>
            <w:r>
              <w:rPr>
                <w:rFonts w:hint="eastAsia" w:ascii="宋体"/>
                <w:color w:val="auto"/>
                <w:kern w:val="0"/>
                <w:sz w:val="24"/>
                <w:szCs w:val="24"/>
              </w:rPr>
              <w:t>”</w:t>
            </w:r>
            <w:r>
              <w:rPr>
                <w:rFonts w:hint="eastAsia" w:ascii="宋体" w:hAnsi="宋体" w:cs="宋体"/>
                <w:color w:val="auto"/>
                <w:kern w:val="0"/>
                <w:sz w:val="24"/>
                <w:szCs w:val="24"/>
              </w:rPr>
              <w:t>期间，围绕文化旅游、现代物流、现代商贸、健康服务、教育培训、科技服务、养老育幼等领域，建设投资亿元以上重点项目</w:t>
            </w:r>
            <w:r>
              <w:rPr>
                <w:rFonts w:ascii="宋体" w:hAnsi="宋体" w:cs="华文仿宋"/>
                <w:color w:val="auto"/>
                <w:kern w:val="0"/>
                <w:sz w:val="24"/>
                <w:szCs w:val="24"/>
              </w:rPr>
              <w:t>100</w:t>
            </w:r>
            <w:r>
              <w:rPr>
                <w:rFonts w:hint="eastAsia" w:ascii="宋体" w:hAnsi="宋体" w:cs="宋体"/>
                <w:color w:val="auto"/>
                <w:kern w:val="0"/>
                <w:sz w:val="24"/>
                <w:szCs w:val="24"/>
              </w:rPr>
              <w:t>余个，推动项目建设滚动接续、动态调整更新，形成推进</w:t>
            </w:r>
            <w:r>
              <w:rPr>
                <w:rFonts w:hint="eastAsia" w:ascii="宋体"/>
                <w:color w:val="auto"/>
                <w:kern w:val="0"/>
                <w:sz w:val="24"/>
                <w:szCs w:val="24"/>
              </w:rPr>
              <w:t>“</w:t>
            </w:r>
            <w:r>
              <w:rPr>
                <w:rFonts w:hint="eastAsia" w:ascii="宋体" w:hAnsi="宋体" w:cs="宋体"/>
                <w:color w:val="auto"/>
                <w:kern w:val="0"/>
                <w:sz w:val="24"/>
                <w:szCs w:val="24"/>
              </w:rPr>
              <w:t>十四五</w:t>
            </w:r>
            <w:r>
              <w:rPr>
                <w:rFonts w:hint="eastAsia" w:ascii="宋体"/>
                <w:color w:val="auto"/>
                <w:kern w:val="0"/>
                <w:sz w:val="24"/>
                <w:szCs w:val="24"/>
              </w:rPr>
              <w:t>”</w:t>
            </w:r>
            <w:r>
              <w:rPr>
                <w:rFonts w:hint="eastAsia" w:ascii="宋体" w:hAnsi="宋体" w:cs="宋体"/>
                <w:color w:val="auto"/>
                <w:kern w:val="0"/>
                <w:sz w:val="24"/>
                <w:szCs w:val="24"/>
              </w:rPr>
              <w:t>现代服务业发展的具体支撑。</w:t>
            </w:r>
          </w:p>
          <w:p>
            <w:pPr>
              <w:snapToGrid w:val="0"/>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高端楼宇打造。</w:t>
            </w:r>
            <w:r>
              <w:rPr>
                <w:rFonts w:hint="eastAsia" w:ascii="宋体" w:hAnsi="宋体" w:cs="宋体"/>
                <w:bCs/>
                <w:color w:val="auto"/>
                <w:kern w:val="0"/>
                <w:sz w:val="24"/>
                <w:szCs w:val="24"/>
              </w:rPr>
              <w:t>强化楼宇招商，提升产业档次，</w:t>
            </w:r>
            <w:r>
              <w:rPr>
                <w:rFonts w:hint="eastAsia" w:ascii="宋体" w:hAnsi="宋体" w:cs="宋体"/>
                <w:color w:val="auto"/>
                <w:kern w:val="0"/>
                <w:sz w:val="24"/>
                <w:szCs w:val="24"/>
              </w:rPr>
              <w:t>提高楼宇智能化、信息化水平，创新运营管理方式，打造</w:t>
            </w:r>
            <w:r>
              <w:rPr>
                <w:rFonts w:ascii="宋体" w:hAnsi="宋体" w:cs="华文仿宋"/>
                <w:color w:val="auto"/>
                <w:kern w:val="0"/>
                <w:sz w:val="24"/>
                <w:szCs w:val="24"/>
              </w:rPr>
              <w:t>10</w:t>
            </w:r>
            <w:r>
              <w:rPr>
                <w:rFonts w:hint="eastAsia" w:ascii="宋体" w:hAnsi="宋体" w:cs="宋体"/>
                <w:color w:val="auto"/>
                <w:kern w:val="0"/>
                <w:sz w:val="24"/>
                <w:szCs w:val="24"/>
              </w:rPr>
              <w:t>栋以上税收超百万、超千万的商务楼宇。</w:t>
            </w:r>
          </w:p>
          <w:p>
            <w:pPr>
              <w:snapToGrid w:val="0"/>
              <w:spacing w:line="520" w:lineRule="exact"/>
              <w:ind w:firstLine="482" w:firstLineChars="200"/>
              <w:rPr>
                <w:rFonts w:ascii="Times New Roman" w:hAnsi="Times New Roman" w:eastAsia="楷体_GB2312"/>
                <w:b/>
                <w:bCs/>
                <w:color w:val="auto"/>
                <w:kern w:val="0"/>
                <w:sz w:val="24"/>
                <w:szCs w:val="18"/>
              </w:rPr>
            </w:pPr>
            <w:r>
              <w:rPr>
                <w:rFonts w:hint="eastAsia" w:ascii="宋体" w:hAnsi="宋体" w:cs="宋体"/>
                <w:b/>
                <w:bCs/>
                <w:color w:val="auto"/>
                <w:kern w:val="0"/>
                <w:sz w:val="24"/>
                <w:szCs w:val="24"/>
              </w:rPr>
              <w:t>公共服务平台建设。</w:t>
            </w:r>
            <w:r>
              <w:rPr>
                <w:rFonts w:hint="eastAsia" w:ascii="宋体" w:hAnsi="宋体" w:cs="宋体"/>
                <w:color w:val="auto"/>
                <w:kern w:val="0"/>
                <w:sz w:val="24"/>
                <w:szCs w:val="24"/>
              </w:rPr>
              <w:t>加快建设</w:t>
            </w:r>
            <w:r>
              <w:rPr>
                <w:rFonts w:hint="eastAsia" w:ascii="宋体"/>
                <w:color w:val="auto"/>
                <w:kern w:val="0"/>
                <w:sz w:val="24"/>
                <w:szCs w:val="24"/>
              </w:rPr>
              <w:t>“</w:t>
            </w:r>
            <w:r>
              <w:rPr>
                <w:rFonts w:hint="eastAsia" w:ascii="宋体" w:hAnsi="宋体" w:cs="宋体"/>
                <w:color w:val="auto"/>
                <w:kern w:val="0"/>
                <w:sz w:val="24"/>
                <w:szCs w:val="24"/>
              </w:rPr>
              <w:t>一站式办公、一条龙服务、联审联批</w:t>
            </w:r>
            <w:r>
              <w:rPr>
                <w:rFonts w:hint="eastAsia" w:ascii="宋体"/>
                <w:color w:val="auto"/>
                <w:kern w:val="0"/>
                <w:sz w:val="24"/>
                <w:szCs w:val="24"/>
              </w:rPr>
              <w:t>”</w:t>
            </w:r>
            <w:r>
              <w:rPr>
                <w:rFonts w:hint="eastAsia" w:ascii="宋体" w:hAnsi="宋体" w:cs="宋体"/>
                <w:color w:val="auto"/>
                <w:kern w:val="0"/>
                <w:sz w:val="24"/>
                <w:szCs w:val="24"/>
              </w:rPr>
              <w:t>综合行政服务平台，支持搭建投融资、企业孵化、信息管理、人力资源等服务平台，建成一批功能设施完备、专业能力强的服务平台。</w:t>
            </w:r>
          </w:p>
        </w:tc>
      </w:tr>
    </w:tbl>
    <w:p>
      <w:pPr>
        <w:pStyle w:val="3"/>
        <w:spacing w:line="580" w:lineRule="exact"/>
        <w:rPr>
          <w:rFonts w:ascii="楷体_GB2312" w:hAnsi="华文楷体" w:eastAsia="楷体_GB2312" w:cs="华文楷体"/>
          <w:color w:val="auto"/>
        </w:rPr>
      </w:pPr>
      <w:bookmarkStart w:id="48" w:name="_Toc99813110"/>
      <w:r>
        <w:rPr>
          <w:rFonts w:ascii="楷体_GB2312" w:hAnsi="华文楷体" w:eastAsia="楷体_GB2312" w:cs="华文楷体"/>
          <w:color w:val="auto"/>
        </w:rPr>
        <w:t xml:space="preserve">    </w:t>
      </w:r>
      <w:r>
        <w:rPr>
          <w:rFonts w:hint="eastAsia" w:ascii="楷体_GB2312" w:hAnsi="华文楷体" w:eastAsia="楷体_GB2312" w:cs="华文楷体"/>
          <w:color w:val="auto"/>
        </w:rPr>
        <w:t>（四）消费升级工程</w:t>
      </w:r>
      <w:bookmarkEnd w:id="48"/>
    </w:p>
    <w:p>
      <w:pPr>
        <w:pStyle w:val="4"/>
        <w:spacing w:line="580" w:lineRule="exact"/>
        <w:rPr>
          <w:rFonts w:ascii="仿宋_GB2312" w:hAnsi="Times New Roman" w:eastAsia="仿宋_GB2312"/>
          <w:color w:val="auto"/>
        </w:rPr>
      </w:pPr>
      <w:r>
        <w:rPr>
          <w:rFonts w:ascii="仿宋_GB2312" w:hAnsi="Times New Roman" w:eastAsia="仿宋_GB2312"/>
          <w:color w:val="auto"/>
        </w:rPr>
        <w:t xml:space="preserve">    1</w:t>
      </w:r>
      <w:r>
        <w:rPr>
          <w:rFonts w:hint="eastAsia" w:ascii="仿宋_GB2312" w:hAnsi="Times New Roman" w:eastAsia="仿宋_GB2312"/>
          <w:color w:val="auto"/>
        </w:rPr>
        <w:t>、加快培育新一代消费热点</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顺应消费升级趋势，持续增加中高端产品和高品质服务供给，鼓励发展首店经济、首发经济和品牌经济，提升商业中心能级，打造一批省级品牌消费集聚区，争创文旅消费、体育消费等特色消费示范城市。加快构建“智能</w:t>
      </w:r>
      <w:r>
        <w:rPr>
          <w:rFonts w:ascii="仿宋_GB2312" w:hAnsi="方正仿宋_GBK" w:eastAsia="仿宋_GB2312" w:cs="方正仿宋_GBK"/>
          <w:color w:val="auto"/>
          <w:sz w:val="32"/>
          <w:szCs w:val="32"/>
        </w:rPr>
        <w:t>+</w:t>
      </w:r>
      <w:r>
        <w:rPr>
          <w:rFonts w:hint="eastAsia" w:ascii="仿宋_GB2312" w:hAnsi="方正仿宋_GBK" w:eastAsia="仿宋_GB2312" w:cs="方正仿宋_GBK"/>
          <w:color w:val="auto"/>
          <w:sz w:val="32"/>
          <w:szCs w:val="32"/>
        </w:rPr>
        <w:t>”消费生态体系，深化大数据、人工智能等技术应用，丰富</w:t>
      </w:r>
      <w:r>
        <w:rPr>
          <w:rFonts w:ascii="仿宋_GB2312" w:hAnsi="方正仿宋_GBK" w:eastAsia="仿宋_GB2312" w:cs="方正仿宋_GBK"/>
          <w:color w:val="auto"/>
          <w:sz w:val="32"/>
          <w:szCs w:val="32"/>
        </w:rPr>
        <w:t>5G</w:t>
      </w:r>
      <w:r>
        <w:rPr>
          <w:rFonts w:hint="eastAsia" w:ascii="仿宋_GB2312" w:hAnsi="方正仿宋_GBK" w:eastAsia="仿宋_GB2312" w:cs="方正仿宋_GBK"/>
          <w:color w:val="auto"/>
          <w:sz w:val="32"/>
          <w:szCs w:val="32"/>
        </w:rPr>
        <w:t>技术在教育、医疗、交通、零售、文化旅游等领域的应用场景，带动</w:t>
      </w:r>
      <w:r>
        <w:rPr>
          <w:rFonts w:ascii="仿宋_GB2312" w:hAnsi="方正仿宋_GBK" w:eastAsia="仿宋_GB2312" w:cs="方正仿宋_GBK"/>
          <w:color w:val="auto"/>
          <w:sz w:val="32"/>
          <w:szCs w:val="32"/>
        </w:rPr>
        <w:t>5G</w:t>
      </w:r>
      <w:r>
        <w:rPr>
          <w:rFonts w:hint="eastAsia" w:ascii="仿宋_GB2312" w:hAnsi="方正仿宋_GBK" w:eastAsia="仿宋_GB2312" w:cs="方正仿宋_GBK"/>
          <w:color w:val="auto"/>
          <w:sz w:val="32"/>
          <w:szCs w:val="32"/>
        </w:rPr>
        <w:t>手机、</w:t>
      </w:r>
      <w:r>
        <w:rPr>
          <w:rFonts w:ascii="仿宋_GB2312" w:hAnsi="方正仿宋_GBK" w:eastAsia="仿宋_GB2312" w:cs="方正仿宋_GBK"/>
          <w:color w:val="auto"/>
          <w:sz w:val="32"/>
          <w:szCs w:val="32"/>
        </w:rPr>
        <w:t>VR</w:t>
      </w:r>
      <w:r>
        <w:rPr>
          <w:rFonts w:hint="eastAsia" w:ascii="仿宋_GB2312" w:hAnsi="方正仿宋_GBK" w:eastAsia="仿宋_GB2312" w:cs="方正仿宋_GBK"/>
          <w:color w:val="auto"/>
          <w:sz w:val="32"/>
          <w:szCs w:val="32"/>
        </w:rPr>
        <w:t>产品等终端消费，培育定制消费、智能消费、信息消费、时尚消费等商业新模式。加快夜市街区建设，大力发展“网红经济”“夜间经济”，推进文旅休闲消费提质升级，支持安阳古城创建国家夜间文化旅游消费集聚区。扩大绿色食品、药品、卫生用品、健身器材的销售，满足居民康体运动需求。</w:t>
      </w:r>
    </w:p>
    <w:p>
      <w:pPr>
        <w:pStyle w:val="4"/>
        <w:spacing w:line="580" w:lineRule="exact"/>
        <w:rPr>
          <w:rFonts w:ascii="仿宋_GB2312" w:hAnsi="Times New Roman" w:eastAsia="仿宋_GB2312"/>
          <w:color w:val="auto"/>
        </w:rPr>
      </w:pPr>
      <w:r>
        <w:rPr>
          <w:rFonts w:ascii="仿宋_GB2312" w:hAnsi="Times New Roman" w:eastAsia="仿宋_GB2312"/>
          <w:color w:val="auto"/>
        </w:rPr>
        <w:t xml:space="preserve">    2</w:t>
      </w:r>
      <w:r>
        <w:rPr>
          <w:rFonts w:hint="eastAsia" w:ascii="仿宋_GB2312" w:hAnsi="Times New Roman" w:eastAsia="仿宋_GB2312"/>
          <w:color w:val="auto"/>
        </w:rPr>
        <w:t>、巩固提升传统消费</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积极推进产业链条长、带动系数大、节能减排协同效应明显的新型绿色、智能化产品销售，以汽车换代升级、智慧家电产品供给等稳定提升传统大宗消费，持续推出促消费优惠措施。引导支持建设停车场和新能源汽车充电基础设施，发展共享、节约、绿色、社会化的汽车流通体系。扩大住房租赁消费，培育一批专业化、机构化住房租赁企业。完善便民消费设施，提升社区服务便利性，加快建设一刻钟便利生活服务圈，加大养老、托幼、家政服务供给。</w:t>
      </w:r>
    </w:p>
    <w:p>
      <w:pPr>
        <w:pStyle w:val="4"/>
        <w:spacing w:line="580" w:lineRule="exact"/>
        <w:rPr>
          <w:rFonts w:ascii="仿宋_GB2312" w:hAnsi="Times New Roman" w:eastAsia="仿宋_GB2312"/>
          <w:color w:val="auto"/>
        </w:rPr>
      </w:pPr>
      <w:r>
        <w:rPr>
          <w:rFonts w:ascii="仿宋_GB2312" w:hAnsi="Times New Roman" w:eastAsia="仿宋_GB2312"/>
          <w:color w:val="auto"/>
        </w:rPr>
        <w:t xml:space="preserve">    3</w:t>
      </w:r>
      <w:r>
        <w:rPr>
          <w:rFonts w:hint="eastAsia" w:ascii="仿宋_GB2312" w:hAnsi="Times New Roman" w:eastAsia="仿宋_GB2312"/>
          <w:color w:val="auto"/>
        </w:rPr>
        <w:t>、促进农村消费提质升级</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把扩大农村消费与实施乡村振兴战略结合起来，激活农村消费市场，鼓励和引导农村居民增加交通通信、文化娱乐、汽车等消费。健全农村商品供应渠道，充分发挥邮政、供销合作社系统现有农村网点布局优势，实施“邮政在乡”、升级“快递下乡”。加强农产品供应链体系建设，扩大电商进农村覆盖面，促进工业品下乡和农产品进城双向流通。支持品牌连锁服务企业下乡进村，助推农村地区特色优势农产品销售。</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823" w:type="dxa"/>
            <w:tcBorders>
              <w:top w:val="single" w:color="auto" w:sz="8" w:space="0"/>
            </w:tcBorders>
          </w:tcPr>
          <w:p>
            <w:pPr>
              <w:spacing w:line="520" w:lineRule="exact"/>
              <w:jc w:val="center"/>
              <w:rPr>
                <w:rFonts w:ascii="黑体" w:hAnsi="黑体" w:eastAsia="黑体"/>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5.4  </w:t>
            </w:r>
            <w:r>
              <w:rPr>
                <w:rFonts w:hint="eastAsia" w:ascii="黑体" w:hAnsi="黑体" w:eastAsia="黑体"/>
                <w:color w:val="auto"/>
                <w:kern w:val="0"/>
                <w:sz w:val="24"/>
                <w:szCs w:val="24"/>
              </w:rPr>
              <w:t>消费升级工程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8" w:hRule="atLeast"/>
          <w:jc w:val="center"/>
        </w:trPr>
        <w:tc>
          <w:tcPr>
            <w:tcW w:w="8823" w:type="dxa"/>
            <w:tcBorders>
              <w:bottom w:val="single" w:color="auto" w:sz="8" w:space="0"/>
            </w:tcBorders>
          </w:tcPr>
          <w:p>
            <w:pPr>
              <w:snapToGrid w:val="0"/>
              <w:spacing w:line="520" w:lineRule="exact"/>
              <w:ind w:firstLine="482" w:firstLineChars="200"/>
              <w:rPr>
                <w:rFonts w:ascii="宋体"/>
                <w:color w:val="auto"/>
                <w:kern w:val="0"/>
                <w:sz w:val="24"/>
                <w:szCs w:val="24"/>
              </w:rPr>
            </w:pPr>
            <w:r>
              <w:rPr>
                <w:rFonts w:hint="eastAsia" w:ascii="宋体" w:hAnsi="宋体" w:cs="宋体"/>
                <w:b/>
                <w:bCs/>
                <w:color w:val="auto"/>
                <w:kern w:val="0"/>
                <w:sz w:val="24"/>
                <w:szCs w:val="24"/>
              </w:rPr>
              <w:t>持续实施政策引导。</w:t>
            </w:r>
            <w:r>
              <w:rPr>
                <w:rFonts w:hint="eastAsia" w:ascii="宋体" w:hAnsi="宋体" w:cs="宋体"/>
                <w:color w:val="auto"/>
                <w:kern w:val="0"/>
                <w:sz w:val="24"/>
                <w:szCs w:val="24"/>
              </w:rPr>
              <w:t>建立完善</w:t>
            </w:r>
            <w:r>
              <w:rPr>
                <w:rFonts w:hint="eastAsia" w:ascii="宋体"/>
                <w:color w:val="auto"/>
                <w:kern w:val="0"/>
                <w:sz w:val="24"/>
                <w:szCs w:val="24"/>
              </w:rPr>
              <w:t>“</w:t>
            </w:r>
            <w:r>
              <w:rPr>
                <w:rFonts w:hint="eastAsia" w:ascii="宋体" w:hAnsi="宋体" w:cs="宋体"/>
                <w:color w:val="auto"/>
                <w:kern w:val="0"/>
                <w:sz w:val="24"/>
                <w:szCs w:val="24"/>
              </w:rPr>
              <w:t>惠游安阳</w:t>
            </w:r>
            <w:r>
              <w:rPr>
                <w:rFonts w:hint="eastAsia" w:ascii="宋体"/>
                <w:color w:val="auto"/>
                <w:kern w:val="0"/>
                <w:sz w:val="24"/>
                <w:szCs w:val="24"/>
              </w:rPr>
              <w:t>”“</w:t>
            </w:r>
            <w:r>
              <w:rPr>
                <w:rFonts w:hint="eastAsia" w:ascii="宋体" w:hAnsi="宋体" w:cs="宋体"/>
                <w:color w:val="auto"/>
                <w:kern w:val="0"/>
                <w:sz w:val="24"/>
                <w:szCs w:val="24"/>
              </w:rPr>
              <w:t>惠民消费</w:t>
            </w:r>
            <w:r>
              <w:rPr>
                <w:rFonts w:hint="eastAsia" w:ascii="宋体"/>
                <w:color w:val="auto"/>
                <w:kern w:val="0"/>
                <w:sz w:val="24"/>
                <w:szCs w:val="24"/>
              </w:rPr>
              <w:t>”</w:t>
            </w:r>
            <w:r>
              <w:rPr>
                <w:rFonts w:hint="eastAsia" w:ascii="宋体" w:hAnsi="宋体" w:cs="宋体"/>
                <w:color w:val="auto"/>
                <w:kern w:val="0"/>
                <w:sz w:val="24"/>
                <w:szCs w:val="24"/>
              </w:rPr>
              <w:t>政策体系，持续在文化旅游、家电、汽车消费等领域推出促消费优惠措施，带动消费稳步增长。</w:t>
            </w:r>
          </w:p>
          <w:p>
            <w:pPr>
              <w:snapToGrid w:val="0"/>
              <w:spacing w:line="520" w:lineRule="exact"/>
              <w:ind w:firstLine="482" w:firstLineChars="200"/>
              <w:rPr>
                <w:rFonts w:ascii="Times New Roman" w:hAnsi="Times New Roman" w:eastAsia="仿宋_GB2312"/>
                <w:color w:val="auto"/>
                <w:kern w:val="0"/>
                <w:sz w:val="24"/>
                <w:szCs w:val="24"/>
              </w:rPr>
            </w:pPr>
            <w:r>
              <w:rPr>
                <w:rFonts w:hint="eastAsia" w:ascii="宋体" w:hAnsi="宋体" w:cs="宋体"/>
                <w:b/>
                <w:bCs/>
                <w:color w:val="auto"/>
                <w:kern w:val="0"/>
                <w:sz w:val="24"/>
                <w:szCs w:val="24"/>
              </w:rPr>
              <w:t>建设消费集聚区。</w:t>
            </w:r>
            <w:r>
              <w:rPr>
                <w:rFonts w:hint="eastAsia" w:ascii="宋体" w:hAnsi="宋体" w:cs="宋体"/>
                <w:color w:val="auto"/>
                <w:kern w:val="0"/>
                <w:sz w:val="24"/>
                <w:szCs w:val="24"/>
              </w:rPr>
              <w:t>加强高品质步行街、商业综合体、智慧商圈建设，围绕激活城市夜间消费活力，加快提升安阳古城、商务中心区、特色商业街区等一批五彩缤纷</w:t>
            </w:r>
            <w:r>
              <w:rPr>
                <w:rFonts w:hint="eastAsia" w:ascii="宋体"/>
                <w:color w:val="auto"/>
                <w:kern w:val="0"/>
                <w:sz w:val="24"/>
                <w:szCs w:val="24"/>
              </w:rPr>
              <w:t>“</w:t>
            </w:r>
            <w:r>
              <w:rPr>
                <w:rFonts w:hint="eastAsia" w:ascii="宋体" w:hAnsi="宋体" w:cs="宋体"/>
                <w:color w:val="auto"/>
                <w:kern w:val="0"/>
                <w:sz w:val="24"/>
                <w:szCs w:val="24"/>
              </w:rPr>
              <w:t>夜经济</w:t>
            </w:r>
            <w:r>
              <w:rPr>
                <w:rFonts w:hint="eastAsia" w:ascii="宋体"/>
                <w:color w:val="auto"/>
                <w:kern w:val="0"/>
                <w:sz w:val="24"/>
                <w:szCs w:val="24"/>
              </w:rPr>
              <w:t>”</w:t>
            </w:r>
            <w:r>
              <w:rPr>
                <w:rFonts w:hint="eastAsia" w:ascii="宋体" w:hAnsi="宋体" w:cs="宋体"/>
                <w:color w:val="auto"/>
                <w:kern w:val="0"/>
                <w:sz w:val="24"/>
                <w:szCs w:val="24"/>
              </w:rPr>
              <w:t>特色点位。支持林州市、滑县创建省级文化旅游消费试点县（市、区），力争创建</w:t>
            </w:r>
            <w:r>
              <w:rPr>
                <w:rFonts w:hint="eastAsia" w:ascii="宋体" w:hAnsi="宋体" w:cs="华文仿宋"/>
                <w:color w:val="auto"/>
                <w:kern w:val="0"/>
                <w:sz w:val="24"/>
                <w:szCs w:val="24"/>
                <w:lang w:eastAsia="zh-CN"/>
              </w:rPr>
              <w:t>一批</w:t>
            </w:r>
            <w:r>
              <w:rPr>
                <w:rFonts w:hint="eastAsia" w:ascii="宋体" w:hAnsi="宋体" w:cs="宋体"/>
                <w:color w:val="auto"/>
                <w:kern w:val="0"/>
                <w:sz w:val="24"/>
                <w:szCs w:val="24"/>
              </w:rPr>
              <w:t>国家、省级夜间文化旅游消费集聚区。</w:t>
            </w:r>
          </w:p>
        </w:tc>
      </w:tr>
    </w:tbl>
    <w:p>
      <w:pPr>
        <w:pStyle w:val="3"/>
        <w:spacing w:line="580" w:lineRule="exact"/>
        <w:rPr>
          <w:rFonts w:ascii="楷体_GB2312" w:hAnsi="华文楷体" w:eastAsia="楷体_GB2312" w:cs="华文楷体"/>
          <w:color w:val="auto"/>
        </w:rPr>
      </w:pPr>
      <w:bookmarkStart w:id="49" w:name="_Toc99813111"/>
      <w:r>
        <w:rPr>
          <w:rFonts w:ascii="楷体_GB2312" w:hAnsi="华文楷体" w:eastAsia="楷体_GB2312" w:cs="华文楷体"/>
          <w:color w:val="auto"/>
        </w:rPr>
        <w:t xml:space="preserve">    </w:t>
      </w:r>
      <w:r>
        <w:rPr>
          <w:rFonts w:hint="eastAsia" w:ascii="楷体_GB2312" w:hAnsi="华文楷体" w:eastAsia="楷体_GB2312" w:cs="华文楷体"/>
          <w:color w:val="auto"/>
        </w:rPr>
        <w:t>（五）</w:t>
      </w:r>
      <w:bookmarkStart w:id="50" w:name="_Hlk73725913"/>
      <w:r>
        <w:rPr>
          <w:rFonts w:hint="eastAsia" w:ascii="楷体_GB2312" w:hAnsi="华文楷体" w:eastAsia="楷体_GB2312" w:cs="华文楷体"/>
          <w:color w:val="auto"/>
        </w:rPr>
        <w:t>质量品牌工程</w:t>
      </w:r>
      <w:bookmarkEnd w:id="49"/>
      <w:bookmarkEnd w:id="50"/>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、健全质量监管体系</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快创建全国质量强市示范城市，全面提升区域质量水平，鼓励林州市争创全国质量强市示范市。建立健全产品追溯体系，积极推动应用物联网、云计算等现代信息技术建设追溯体系，完善重要产品追溯管理机制，保障放心消费。推广服务质量社会监督员制度，鼓励开展第三方认证。研究开发信用大数据监管风险模型，构建智能化信用监管监测预警系统，实现信用监管数据可比对、过程可追溯、问题可监测。</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、提高服务标准化水平</w:t>
      </w:r>
    </w:p>
    <w:p>
      <w:pPr>
        <w:spacing w:line="580" w:lineRule="exact"/>
        <w:ind w:firstLine="640" w:firstLineChars="200"/>
        <w:rPr>
          <w:rFonts w:ascii="仿宋_GB2312" w:hAnsi="方正仿宋_GBK" w:eastAsia="仿宋_GB2312" w:cs="方正仿宋_GBK"/>
          <w:color w:val="auto"/>
          <w:sz w:val="32"/>
          <w:szCs w:val="32"/>
        </w:rPr>
      </w:pPr>
      <w:bookmarkStart w:id="51" w:name="_Hlk67985023"/>
      <w:r>
        <w:rPr>
          <w:rFonts w:hint="eastAsia" w:ascii="仿宋_GB2312" w:hAnsi="方正仿宋_GBK" w:eastAsia="仿宋_GB2312" w:cs="方正仿宋_GBK"/>
          <w:color w:val="auto"/>
          <w:sz w:val="32"/>
          <w:szCs w:val="32"/>
        </w:rPr>
        <w:t>完善我市服务业标准化管理相关制度，围绕培育壮大“四大千亿级”产业，加快特色产品地方标准制定或修订，鼓励服务业企业制定高于国家标准或行业标准的企业标准，培育企业标准“领跑者”，支持社会组织制定团体标准。建立政府主导制定的标准与市场自主制定的标准协同发展、协调配套的新型标准体系，健全统一协调、运行高效、政府与市场共治的标准化管理体制，形成政府引导、市场驱动、社会参与、协同推进的标准化工作格局，提升服务标准化水平。</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、打造知名服务品牌</w:t>
      </w:r>
    </w:p>
    <w:p>
      <w:pPr>
        <w:spacing w:line="580" w:lineRule="exact"/>
        <w:ind w:firstLine="640" w:firstLineChars="200"/>
        <w:rPr>
          <w:rFonts w:ascii="仿宋_GB2312" w:eastAsia="仿宋_GB2312"/>
          <w:color w:val="auto"/>
        </w:rPr>
      </w:pPr>
      <w:r>
        <w:rPr>
          <w:rFonts w:hint="eastAsia" w:ascii="仿宋_GB2312" w:hAnsi="方正仿宋_GBK" w:eastAsia="仿宋_GB2312" w:cs="方正仿宋_GBK"/>
          <w:color w:val="auto"/>
          <w:sz w:val="32"/>
          <w:szCs w:val="32"/>
        </w:rPr>
        <w:t>制定实施服务业品牌培育计划，鼓励具有知识创新和模式创新的服务型企业创建品牌，鼓励、引导、支持企业申请认定中国驰名商标，争创省级服务名牌，推动形成具有安阳特色的服务品牌体系。做响一批区域品牌，大力提升安阳文旅、先进制造业、特色农产品知名度。做强一批企业品牌，做优一批产品品牌，打造系列地理标志农产品和国家地理标志产品。培育保护中华老字号、非物质文化遗产，创建一批影响力大、生命力强的服务品牌。深入实施商标品牌战略，强化商标专用权保护，依法打击侵权行为。</w:t>
      </w:r>
    </w:p>
    <w:bookmarkEnd w:id="51"/>
    <w:tbl>
      <w:tblPr>
        <w:tblStyle w:val="16"/>
        <w:tblW w:w="86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669" w:type="dxa"/>
            <w:tcBorders>
              <w:top w:val="single" w:color="auto" w:sz="8" w:space="0"/>
            </w:tcBorders>
          </w:tcPr>
          <w:p>
            <w:pPr>
              <w:spacing w:line="520" w:lineRule="exact"/>
              <w:ind w:firstLine="480" w:firstLineChars="200"/>
              <w:jc w:val="center"/>
              <w:rPr>
                <w:rFonts w:ascii="黑体" w:hAnsi="黑体" w:eastAsia="黑体"/>
                <w:b/>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5.5  </w:t>
            </w:r>
            <w:r>
              <w:rPr>
                <w:rFonts w:hint="eastAsia" w:ascii="黑体" w:hAnsi="黑体" w:eastAsia="黑体"/>
                <w:color w:val="auto"/>
                <w:kern w:val="0"/>
                <w:sz w:val="24"/>
                <w:szCs w:val="24"/>
              </w:rPr>
              <w:t>质量品牌工程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9" w:hRule="atLeast"/>
          <w:jc w:val="center"/>
        </w:trPr>
        <w:tc>
          <w:tcPr>
            <w:tcW w:w="8669" w:type="dxa"/>
            <w:tcBorders>
              <w:bottom w:val="single" w:color="auto" w:sz="8" w:space="0"/>
            </w:tcBorders>
          </w:tcPr>
          <w:p>
            <w:pPr>
              <w:spacing w:line="520" w:lineRule="exact"/>
              <w:ind w:firstLine="482" w:firstLineChars="200"/>
              <w:rPr>
                <w:rFonts w:ascii="宋体"/>
                <w:color w:val="auto"/>
                <w:kern w:val="0"/>
                <w:sz w:val="24"/>
                <w:szCs w:val="24"/>
                <w:lang w:val="zh-CN"/>
              </w:rPr>
            </w:pPr>
            <w:r>
              <w:rPr>
                <w:rFonts w:hint="eastAsia" w:ascii="宋体" w:hAnsi="宋体" w:cs="宋体"/>
                <w:b/>
                <w:bCs/>
                <w:color w:val="auto"/>
                <w:kern w:val="0"/>
                <w:sz w:val="24"/>
                <w:szCs w:val="24"/>
                <w:lang w:val="zh-CN"/>
              </w:rPr>
              <w:t>建设</w:t>
            </w:r>
            <w:r>
              <w:rPr>
                <w:rFonts w:hint="eastAsia" w:ascii="宋体"/>
                <w:b/>
                <w:bCs/>
                <w:color w:val="auto"/>
                <w:kern w:val="0"/>
                <w:sz w:val="24"/>
                <w:szCs w:val="24"/>
                <w:lang w:val="zh-CN"/>
              </w:rPr>
              <w:t>“</w:t>
            </w:r>
            <w:r>
              <w:rPr>
                <w:rFonts w:hint="eastAsia" w:ascii="宋体" w:hAnsi="宋体" w:cs="宋体"/>
                <w:b/>
                <w:bCs/>
                <w:color w:val="auto"/>
                <w:kern w:val="0"/>
                <w:sz w:val="24"/>
                <w:szCs w:val="24"/>
                <w:lang w:val="zh-CN"/>
              </w:rPr>
              <w:t>产业名城</w:t>
            </w:r>
            <w:r>
              <w:rPr>
                <w:rFonts w:hint="eastAsia" w:ascii="宋体"/>
                <w:b/>
                <w:bCs/>
                <w:color w:val="auto"/>
                <w:kern w:val="0"/>
                <w:sz w:val="24"/>
                <w:szCs w:val="24"/>
                <w:lang w:val="zh-CN"/>
              </w:rPr>
              <w:t>”</w:t>
            </w:r>
            <w:r>
              <w:rPr>
                <w:rFonts w:hint="eastAsia" w:ascii="宋体" w:hAnsi="宋体" w:cs="宋体"/>
                <w:b/>
                <w:bCs/>
                <w:color w:val="auto"/>
                <w:kern w:val="0"/>
                <w:sz w:val="24"/>
                <w:szCs w:val="24"/>
                <w:lang w:val="zh-CN"/>
              </w:rPr>
              <w:t>。</w:t>
            </w:r>
            <w:r>
              <w:rPr>
                <w:rFonts w:hint="eastAsia" w:ascii="宋体" w:hAnsi="宋体" w:cs="宋体"/>
                <w:color w:val="auto"/>
                <w:kern w:val="0"/>
                <w:sz w:val="24"/>
                <w:szCs w:val="24"/>
                <w:lang w:val="zh-CN"/>
              </w:rPr>
              <w:t>围绕建设区域先进制造业中心，依托精品钢、新能源汽车、高端装备制造、精细化工、食品制造、纺织服装、绿色建材、新材料等重点产业，持续开展增品种、提品质、创品牌</w:t>
            </w:r>
            <w:r>
              <w:rPr>
                <w:rFonts w:hint="eastAsia" w:ascii="宋体"/>
                <w:color w:val="auto"/>
                <w:kern w:val="0"/>
                <w:sz w:val="24"/>
                <w:szCs w:val="24"/>
                <w:lang w:val="zh-CN"/>
              </w:rPr>
              <w:t>“</w:t>
            </w:r>
            <w:r>
              <w:rPr>
                <w:rFonts w:hint="eastAsia" w:ascii="宋体" w:hAnsi="宋体" w:cs="宋体"/>
                <w:color w:val="auto"/>
                <w:kern w:val="0"/>
                <w:sz w:val="24"/>
                <w:szCs w:val="24"/>
                <w:lang w:val="zh-CN"/>
              </w:rPr>
              <w:t>三品</w:t>
            </w:r>
            <w:r>
              <w:rPr>
                <w:rFonts w:hint="eastAsia" w:ascii="宋体"/>
                <w:color w:val="auto"/>
                <w:kern w:val="0"/>
                <w:sz w:val="24"/>
                <w:szCs w:val="24"/>
                <w:lang w:val="zh-CN"/>
              </w:rPr>
              <w:t>”</w:t>
            </w:r>
            <w:r>
              <w:rPr>
                <w:rFonts w:hint="eastAsia" w:ascii="宋体" w:hAnsi="宋体" w:cs="宋体"/>
                <w:color w:val="auto"/>
                <w:kern w:val="0"/>
                <w:sz w:val="24"/>
                <w:szCs w:val="24"/>
                <w:lang w:val="zh-CN"/>
              </w:rPr>
              <w:t>行动，创建一批拥有关键核心技术的知名品牌，打造在省内外具有重要知名度的</w:t>
            </w:r>
            <w:r>
              <w:rPr>
                <w:rFonts w:hint="eastAsia" w:ascii="宋体"/>
                <w:color w:val="auto"/>
                <w:kern w:val="0"/>
                <w:sz w:val="24"/>
                <w:szCs w:val="24"/>
                <w:lang w:val="zh-CN"/>
              </w:rPr>
              <w:t>“</w:t>
            </w:r>
            <w:r>
              <w:rPr>
                <w:rFonts w:hint="eastAsia" w:ascii="宋体" w:hAnsi="宋体" w:cs="宋体"/>
                <w:color w:val="auto"/>
                <w:kern w:val="0"/>
                <w:sz w:val="24"/>
                <w:szCs w:val="24"/>
                <w:lang w:val="zh-CN"/>
              </w:rPr>
              <w:t>产业名城</w:t>
            </w:r>
            <w:r>
              <w:rPr>
                <w:rFonts w:hint="eastAsia" w:ascii="宋体"/>
                <w:color w:val="auto"/>
                <w:kern w:val="0"/>
                <w:sz w:val="24"/>
                <w:szCs w:val="24"/>
                <w:lang w:val="zh-CN"/>
              </w:rPr>
              <w:t>”</w:t>
            </w:r>
            <w:r>
              <w:rPr>
                <w:rFonts w:hint="eastAsia" w:ascii="宋体" w:hAnsi="宋体" w:cs="宋体"/>
                <w:color w:val="auto"/>
                <w:kern w:val="0"/>
                <w:sz w:val="24"/>
                <w:szCs w:val="24"/>
                <w:lang w:val="zh-CN"/>
              </w:rPr>
              <w:t>。</w:t>
            </w:r>
          </w:p>
          <w:p>
            <w:pPr>
              <w:spacing w:line="520" w:lineRule="exact"/>
              <w:ind w:firstLine="482" w:firstLineChars="200"/>
              <w:rPr>
                <w:rFonts w:ascii="宋体"/>
                <w:color w:val="auto"/>
                <w:kern w:val="0"/>
                <w:sz w:val="24"/>
                <w:szCs w:val="24"/>
                <w:lang w:val="zh-CN"/>
              </w:rPr>
            </w:pPr>
            <w:r>
              <w:rPr>
                <w:rFonts w:ascii="宋体" w:hAnsi="宋体" w:eastAsia="宋体" w:cs="宋体"/>
                <w:b/>
                <w:bCs/>
                <w:color w:val="auto"/>
                <w:kern w:val="0"/>
                <w:sz w:val="24"/>
                <w:szCs w:val="24"/>
                <w:lang w:val="en-US" w:eastAsia="zh-CN" w:bidi="ar"/>
              </w:rPr>
              <w:t>培育优质农产品品牌。</w:t>
            </w:r>
            <w:r>
              <w:rPr>
                <w:rFonts w:ascii="宋体" w:hAnsi="宋体" w:eastAsia="宋体" w:cs="宋体"/>
                <w:color w:val="auto"/>
                <w:kern w:val="0"/>
                <w:sz w:val="24"/>
                <w:szCs w:val="24"/>
                <w:lang w:val="en-US" w:eastAsia="zh-CN" w:bidi="ar"/>
              </w:rPr>
              <w:t>大力推进以绿色食品为主的优质农产品发展，培育一批“大而优”的大宗农产品品牌，创建一批“小而美”的特色农产品品牌，不断提升安阳特色农产品品牌知名度和影响力。</w:t>
            </w:r>
            <w:r>
              <w:rPr>
                <w:rFonts w:hint="eastAsia" w:ascii="宋体" w:hAnsi="宋体" w:eastAsia="宋体" w:cs="宋体"/>
                <w:color w:val="auto"/>
                <w:kern w:val="0"/>
                <w:sz w:val="24"/>
                <w:szCs w:val="24"/>
                <w:lang w:val="zh-CN" w:eastAsia="zh-CN" w:bidi="ar"/>
              </w:rPr>
              <w:t>到</w:t>
            </w:r>
            <w:r>
              <w:rPr>
                <w:rFonts w:ascii="宋体" w:hAnsi="宋体" w:eastAsia="宋体" w:cs="宋体"/>
                <w:color w:val="auto"/>
                <w:kern w:val="0"/>
                <w:sz w:val="24"/>
                <w:szCs w:val="24"/>
                <w:lang w:val="zh-CN" w:eastAsia="zh-CN" w:bidi="ar"/>
              </w:rPr>
              <w:t>2025</w:t>
            </w:r>
            <w:r>
              <w:rPr>
                <w:rFonts w:hint="eastAsia" w:ascii="宋体" w:hAnsi="宋体" w:eastAsia="宋体" w:cs="宋体"/>
                <w:color w:val="auto"/>
                <w:kern w:val="0"/>
                <w:sz w:val="24"/>
                <w:szCs w:val="24"/>
                <w:lang w:val="zh-CN" w:eastAsia="zh-CN" w:bidi="ar"/>
              </w:rPr>
              <w:t>年，全市新增市级以上农业知名品牌100个，新增绿色食品标志许可产品100个。</w:t>
            </w:r>
          </w:p>
          <w:p>
            <w:pPr>
              <w:spacing w:line="520" w:lineRule="exact"/>
              <w:ind w:firstLine="482" w:firstLineChars="200"/>
              <w:rPr>
                <w:rFonts w:ascii="Times New Roman" w:hAnsi="Times New Roman"/>
                <w:color w:val="auto"/>
                <w:kern w:val="0"/>
                <w:sz w:val="24"/>
                <w:szCs w:val="24"/>
              </w:rPr>
            </w:pPr>
            <w:r>
              <w:rPr>
                <w:rFonts w:hint="eastAsia" w:ascii="宋体" w:hAnsi="宋体" w:cs="宋体"/>
                <w:b/>
                <w:bCs/>
                <w:color w:val="auto"/>
                <w:kern w:val="0"/>
                <w:sz w:val="24"/>
                <w:szCs w:val="24"/>
                <w:lang w:val="zh-CN"/>
              </w:rPr>
              <w:t>打造知名服务业品牌。</w:t>
            </w:r>
            <w:r>
              <w:rPr>
                <w:rFonts w:hint="eastAsia" w:ascii="宋体" w:hAnsi="宋体" w:cs="宋体"/>
                <w:color w:val="auto"/>
                <w:kern w:val="0"/>
                <w:sz w:val="24"/>
                <w:szCs w:val="24"/>
                <w:lang w:val="zh-CN"/>
              </w:rPr>
              <w:t>打响甲骨文文化、周易文化、红旗渠精神、航空运动之都等文化旅游品牌，扩大安阳在国内外的美誉度。聚焦人才、产业融合发展，创建“一县一品”特色人力资源品牌</w:t>
            </w:r>
            <w:r>
              <w:rPr>
                <w:rFonts w:hint="eastAsia" w:ascii="宋体" w:hAnsi="宋体" w:cs="宋体"/>
                <w:color w:val="auto"/>
                <w:kern w:val="0"/>
                <w:sz w:val="24"/>
                <w:szCs w:val="24"/>
                <w:lang w:val="zh-CN"/>
              </w:rPr>
              <w:t>，提升</w:t>
            </w:r>
            <w:r>
              <w:rPr>
                <w:rFonts w:hint="eastAsia" w:ascii="宋体"/>
                <w:color w:val="auto"/>
                <w:kern w:val="0"/>
                <w:sz w:val="24"/>
                <w:szCs w:val="24"/>
                <w:lang w:val="zh-CN"/>
              </w:rPr>
              <w:t>“</w:t>
            </w:r>
            <w:r>
              <w:rPr>
                <w:rFonts w:hint="eastAsia" w:ascii="宋体" w:hAnsi="宋体" w:cs="宋体"/>
                <w:color w:val="auto"/>
                <w:kern w:val="0"/>
                <w:sz w:val="24"/>
                <w:szCs w:val="24"/>
                <w:lang w:val="zh-CN"/>
              </w:rPr>
              <w:t>洹泉涌流</w:t>
            </w:r>
            <w:r>
              <w:rPr>
                <w:rFonts w:hint="eastAsia" w:ascii="宋体"/>
                <w:color w:val="auto"/>
                <w:kern w:val="0"/>
                <w:sz w:val="24"/>
                <w:szCs w:val="24"/>
                <w:lang w:val="zh-CN"/>
              </w:rPr>
              <w:t>”</w:t>
            </w:r>
            <w:r>
              <w:rPr>
                <w:rFonts w:hint="eastAsia" w:ascii="宋体" w:hAnsi="宋体" w:cs="宋体"/>
                <w:color w:val="auto"/>
                <w:kern w:val="0"/>
                <w:sz w:val="24"/>
                <w:szCs w:val="24"/>
                <w:lang w:val="zh-CN"/>
              </w:rPr>
              <w:t>在省内外的品牌影响力。</w:t>
            </w:r>
            <w:r>
              <w:rPr>
                <w:rFonts w:hint="eastAsia" w:ascii="宋体" w:hAnsi="宋体" w:cs="宋体"/>
                <w:color w:val="auto"/>
                <w:kern w:val="0"/>
                <w:sz w:val="24"/>
                <w:szCs w:val="24"/>
                <w:lang w:val="zh-CN"/>
              </w:rPr>
              <w:t>创建一批国家级、省级物流园区，打造</w:t>
            </w:r>
            <w:r>
              <w:rPr>
                <w:rFonts w:ascii="宋体" w:hAnsi="宋体" w:cs="华文仿宋"/>
                <w:color w:val="auto"/>
                <w:kern w:val="0"/>
                <w:sz w:val="24"/>
                <w:szCs w:val="24"/>
              </w:rPr>
              <w:t>3</w:t>
            </w:r>
            <w:r>
              <w:rPr>
                <w:rFonts w:hint="eastAsia" w:ascii="宋体" w:hAnsi="宋体" w:cs="宋体"/>
                <w:color w:val="auto"/>
                <w:kern w:val="0"/>
                <w:sz w:val="24"/>
                <w:szCs w:val="24"/>
              </w:rPr>
              <w:t>个以上</w:t>
            </w:r>
            <w:r>
              <w:rPr>
                <w:rFonts w:hint="eastAsia" w:ascii="宋体" w:hAnsi="宋体" w:cs="宋体"/>
                <w:color w:val="auto"/>
                <w:kern w:val="0"/>
                <w:sz w:val="24"/>
                <w:szCs w:val="24"/>
                <w:lang w:val="zh-CN"/>
              </w:rPr>
              <w:t>省级多式联运示范工程，扩大安阳陆港型国家物流枢纽品牌知名度。提升家政、养老服务品质，加大优质服务供给，创建一批星级服务品牌。</w:t>
            </w:r>
          </w:p>
        </w:tc>
      </w:tr>
    </w:tbl>
    <w:p>
      <w:pPr>
        <w:pStyle w:val="3"/>
        <w:spacing w:line="580" w:lineRule="exact"/>
        <w:rPr>
          <w:rFonts w:ascii="楷体_GB2312" w:hAnsi="华文楷体" w:eastAsia="楷体_GB2312" w:cs="华文楷体"/>
          <w:color w:val="auto"/>
        </w:rPr>
      </w:pPr>
      <w:bookmarkStart w:id="52" w:name="_Toc99813112"/>
      <w:r>
        <w:rPr>
          <w:rFonts w:ascii="楷体_GB2312" w:hAnsi="华文楷体" w:eastAsia="楷体_GB2312" w:cs="华文楷体"/>
          <w:color w:val="auto"/>
        </w:rPr>
        <w:t xml:space="preserve">    </w:t>
      </w:r>
      <w:r>
        <w:rPr>
          <w:rFonts w:hint="eastAsia" w:ascii="楷体_GB2312" w:hAnsi="华文楷体" w:eastAsia="楷体_GB2312" w:cs="华文楷体"/>
          <w:color w:val="auto"/>
        </w:rPr>
        <w:t>（六）改革开放工程</w:t>
      </w:r>
      <w:bookmarkEnd w:id="52"/>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1</w:t>
      </w:r>
      <w:r>
        <w:rPr>
          <w:rFonts w:hint="eastAsia" w:ascii="仿宋_GB2312" w:hAnsi="方正仿宋_GBK" w:eastAsia="仿宋_GB2312" w:cs="方正仿宋_GBK"/>
          <w:color w:val="auto"/>
        </w:rPr>
        <w:t>、扩大服务业对外开放</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落实国家在服务领域的改革开放政策，对外商投资全面实施准入前国民待遇加负面清单管理模式，积极融入“一带一路”战略，引进先进的经营理念与管理技术，实现对资本、企业、品牌、人才、网络、管理、经营、管理的全方位引进、学习、消化、创新，提高服务业整体层次和竞争力。高标准提升安阳国家高新技术产业开发区、红旗渠国家经济技术开发区、先进制造业开发区、跨境电商示范园区、国家物流枢纽、安阳机场等平台载体开放功能，构建开放经济发展格局。进一步完善服务业企业“走出去”政策体系，搭建人才培训、涉外金融、供需信息、涉外法律咨询等共性服务平台，提升对外开放服务能力。争创省级服务外包示范园区和省级特色服务出口基地。</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2</w:t>
      </w:r>
      <w:r>
        <w:rPr>
          <w:rFonts w:hint="eastAsia" w:ascii="仿宋_GB2312" w:hAnsi="方正仿宋_GBK" w:eastAsia="仿宋_GB2312" w:cs="方正仿宋_GBK"/>
          <w:color w:val="auto"/>
        </w:rPr>
        <w:t>、全面融入国内大循环流通体系</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依托安阳陆港型国家物流枢纽优势，加强与省内外，陆上边境型、沿海港口型等国家物流枢纽之间的互利合作，促进枢纽间业务协同、运行协作、信息共享，实现有效对接、联动发展，融入国内供应链物流服务体系。围绕农资、粮食、纯碱、玻璃、木材等大宗商品交易，加快建设期货商品交割物流园及期货要素产业园，加强与郑州、上海、大连、广州、海南等商品交易所间的战略合作，促进大宗商品交易场内场外高效联动，推动交易品种增量扩容，吸引国内外资源向安阳聚集，打造国内知名的大宗商品交易市场。</w:t>
      </w:r>
    </w:p>
    <w:p>
      <w:pPr>
        <w:pStyle w:val="4"/>
        <w:spacing w:line="580" w:lineRule="exact"/>
        <w:rPr>
          <w:rFonts w:ascii="仿宋_GB2312" w:hAnsi="方正仿宋_GBK" w:eastAsia="仿宋_GB2312" w:cs="方正仿宋_GBK"/>
          <w:color w:val="auto"/>
        </w:rPr>
      </w:pPr>
      <w:r>
        <w:rPr>
          <w:rFonts w:ascii="仿宋_GB2312" w:hAnsi="方正仿宋_GBK" w:eastAsia="仿宋_GB2312" w:cs="方正仿宋_GBK"/>
          <w:color w:val="auto"/>
        </w:rPr>
        <w:t xml:space="preserve">    3</w:t>
      </w:r>
      <w:r>
        <w:rPr>
          <w:rFonts w:hint="eastAsia" w:ascii="仿宋_GB2312" w:hAnsi="方正仿宋_GBK" w:eastAsia="仿宋_GB2312" w:cs="方正仿宋_GBK"/>
          <w:color w:val="auto"/>
        </w:rPr>
        <w:t>、深化服务业区域合作</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全面推动与京津冀、长三角、中原城市群、豫北区域的交流合作，进一步加强在健康养老、文化旅游、金融保险、信息服务、研发设计、现代物流等领域的投资合作，积极承接京津地区服务业产业转移，更加注重引进先进技术、领军人才、新型业态和服务模式。围绕京津冀农业结构调整，推动与京津冀城市群农业对接协作，联动发展一批现代农业合作平台，推进大城市“菜篮子”供给保障基地建设，定向打造农产品生产基地及特色农产品供应中心。依托陆港型国家物流枢纽、安阳机场等载体，加强与濮阳、鹤壁等地统筹衔接，推进主干道路互联互通、枢纽平台共建共享，推动区域运贸一体化发展。建立豫晋冀鲁毗邻城市文旅融合发展协作机制，推动区域文化旅游联动发展。</w:t>
      </w:r>
    </w:p>
    <w:tbl>
      <w:tblPr>
        <w:tblStyle w:val="16"/>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28" w:type="dxa"/>
            <w:tcBorders>
              <w:top w:val="single" w:color="auto" w:sz="8" w:space="0"/>
            </w:tcBorders>
          </w:tcPr>
          <w:p>
            <w:pPr>
              <w:spacing w:line="520" w:lineRule="exact"/>
              <w:jc w:val="center"/>
              <w:rPr>
                <w:rFonts w:ascii="黑体" w:hAnsi="黑体" w:eastAsia="黑体"/>
                <w:color w:val="auto"/>
                <w:kern w:val="0"/>
                <w:sz w:val="24"/>
                <w:szCs w:val="24"/>
              </w:rPr>
            </w:pPr>
            <w:r>
              <w:rPr>
                <w:rFonts w:hint="eastAsia" w:ascii="黑体" w:hAnsi="黑体" w:eastAsia="黑体"/>
                <w:color w:val="auto"/>
                <w:kern w:val="0"/>
                <w:sz w:val="24"/>
                <w:szCs w:val="24"/>
              </w:rPr>
              <w:t>专栏</w:t>
            </w:r>
            <w:r>
              <w:rPr>
                <w:rFonts w:ascii="黑体" w:hAnsi="黑体" w:eastAsia="黑体"/>
                <w:color w:val="auto"/>
                <w:kern w:val="0"/>
                <w:sz w:val="24"/>
                <w:szCs w:val="24"/>
              </w:rPr>
              <w:t xml:space="preserve">5.6  </w:t>
            </w:r>
            <w:r>
              <w:rPr>
                <w:rFonts w:hint="eastAsia" w:ascii="黑体" w:hAnsi="黑体" w:eastAsia="黑体"/>
                <w:color w:val="auto"/>
                <w:kern w:val="0"/>
                <w:sz w:val="24"/>
                <w:szCs w:val="24"/>
              </w:rPr>
              <w:t>改革开放工程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28" w:type="dxa"/>
            <w:tcBorders>
              <w:bottom w:val="single" w:color="auto" w:sz="8" w:space="0"/>
            </w:tcBorders>
          </w:tcPr>
          <w:p>
            <w:pPr>
              <w:pStyle w:val="12"/>
              <w:widowControl/>
              <w:spacing w:line="520" w:lineRule="exact"/>
              <w:ind w:firstLine="482" w:firstLineChars="200"/>
              <w:jc w:val="both"/>
              <w:rPr>
                <w:rFonts w:ascii="宋体"/>
                <w:color w:val="auto"/>
              </w:rPr>
            </w:pPr>
            <w:r>
              <w:rPr>
                <w:rFonts w:hint="eastAsia" w:ascii="宋体" w:hAnsi="宋体" w:cs="宋体"/>
                <w:b/>
                <w:bCs/>
                <w:color w:val="auto"/>
              </w:rPr>
              <w:t>积极融入</w:t>
            </w:r>
            <w:r>
              <w:rPr>
                <w:rFonts w:hint="eastAsia" w:ascii="宋体"/>
                <w:b/>
                <w:bCs/>
                <w:color w:val="auto"/>
              </w:rPr>
              <w:t>“</w:t>
            </w:r>
            <w:r>
              <w:rPr>
                <w:rFonts w:hint="eastAsia" w:ascii="宋体" w:hAnsi="宋体" w:cs="宋体"/>
                <w:b/>
                <w:bCs/>
                <w:color w:val="auto"/>
              </w:rPr>
              <w:t>一带一路</w:t>
            </w:r>
            <w:r>
              <w:rPr>
                <w:rFonts w:hint="eastAsia" w:ascii="宋体"/>
                <w:b/>
                <w:bCs/>
                <w:color w:val="auto"/>
              </w:rPr>
              <w:t>”</w:t>
            </w:r>
            <w:r>
              <w:rPr>
                <w:rFonts w:hint="eastAsia" w:ascii="宋体" w:hAnsi="宋体" w:cs="宋体"/>
                <w:b/>
                <w:bCs/>
                <w:color w:val="auto"/>
              </w:rPr>
              <w:t>战略。</w:t>
            </w:r>
            <w:r>
              <w:rPr>
                <w:rFonts w:hint="eastAsia" w:ascii="宋体" w:hAnsi="宋体" w:cs="宋体"/>
                <w:color w:val="auto"/>
              </w:rPr>
              <w:t>支持有条件的服务业企业沿</w:t>
            </w:r>
            <w:r>
              <w:rPr>
                <w:rFonts w:hint="eastAsia" w:ascii="宋体"/>
                <w:color w:val="auto"/>
              </w:rPr>
              <w:t>“</w:t>
            </w:r>
            <w:r>
              <w:rPr>
                <w:rFonts w:hint="eastAsia" w:ascii="宋体" w:hAnsi="宋体" w:cs="宋体"/>
                <w:color w:val="auto"/>
              </w:rPr>
              <w:t>一带一路</w:t>
            </w:r>
            <w:r>
              <w:rPr>
                <w:rFonts w:hint="eastAsia" w:ascii="宋体"/>
                <w:color w:val="auto"/>
              </w:rPr>
              <w:t>”</w:t>
            </w:r>
            <w:r>
              <w:rPr>
                <w:rFonts w:hint="eastAsia" w:ascii="宋体" w:hAnsi="宋体" w:cs="宋体"/>
                <w:color w:val="auto"/>
              </w:rPr>
              <w:t>走出去，加快发展面向日韩、东南亚的跨境电商、市场采购贸易，</w:t>
            </w:r>
            <w:r>
              <w:rPr>
                <w:rFonts w:hint="eastAsia" w:ascii="宋体" w:hAnsi="宋体" w:cs="宋体"/>
                <w:color w:val="auto"/>
                <w:lang w:eastAsia="zh-CN"/>
              </w:rPr>
              <w:t>积极拓展与</w:t>
            </w:r>
            <w:r>
              <w:rPr>
                <w:rFonts w:ascii="宋体" w:hAnsi="宋体" w:cs="华文仿宋"/>
                <w:color w:val="auto"/>
              </w:rPr>
              <w:t xml:space="preserve"> RCEP</w:t>
            </w:r>
            <w:r>
              <w:rPr>
                <w:rFonts w:hint="eastAsia" w:ascii="宋体" w:hAnsi="宋体" w:cs="宋体"/>
                <w:color w:val="auto"/>
              </w:rPr>
              <w:t>国家</w:t>
            </w:r>
            <w:r>
              <w:rPr>
                <w:rFonts w:hint="eastAsia" w:ascii="宋体" w:hAnsi="宋体" w:cs="宋体"/>
                <w:color w:val="auto"/>
                <w:lang w:eastAsia="zh-CN"/>
              </w:rPr>
              <w:t>贸易往来</w:t>
            </w:r>
            <w:r>
              <w:rPr>
                <w:rFonts w:hint="eastAsia" w:ascii="宋体" w:hAnsi="宋体" w:cs="宋体"/>
                <w:color w:val="auto"/>
              </w:rPr>
              <w:t>，推进本市特色服务出口，在国际运输、文化旅游、技术贸易、现代中医药、特色农副产品等领域培育一批具有</w:t>
            </w:r>
            <w:r>
              <w:rPr>
                <w:rFonts w:hint="eastAsia" w:ascii="宋体" w:hAnsi="宋体" w:cs="宋体"/>
                <w:color w:val="auto"/>
                <w:lang w:eastAsia="zh-CN"/>
              </w:rPr>
              <w:t>区域</w:t>
            </w:r>
            <w:r>
              <w:rPr>
                <w:rFonts w:hint="eastAsia" w:ascii="宋体" w:hAnsi="宋体" w:cs="宋体"/>
                <w:color w:val="auto"/>
              </w:rPr>
              <w:t>影响力的贸易品牌。</w:t>
            </w:r>
          </w:p>
          <w:p>
            <w:pPr>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扩大与京津冀合作。</w:t>
            </w:r>
            <w:r>
              <w:rPr>
                <w:rFonts w:hint="eastAsia" w:ascii="宋体" w:hAnsi="宋体" w:cs="宋体"/>
                <w:bCs/>
                <w:color w:val="auto"/>
                <w:kern w:val="0"/>
                <w:sz w:val="24"/>
                <w:szCs w:val="24"/>
              </w:rPr>
              <w:t>围绕金融、科技、物流、人才服务等领域，</w:t>
            </w:r>
            <w:r>
              <w:rPr>
                <w:rFonts w:hint="eastAsia" w:ascii="宋体" w:hAnsi="宋体" w:cs="宋体"/>
                <w:color w:val="auto"/>
                <w:kern w:val="0"/>
                <w:sz w:val="24"/>
                <w:szCs w:val="24"/>
              </w:rPr>
              <w:t>主动融入京津冀服务业发展格局，引导我市优质企业在北京证券交易所挂牌上市。在京津等地建设离岸创新中心，推动科技服务</w:t>
            </w:r>
            <w:r>
              <w:rPr>
                <w:rFonts w:hint="eastAsia" w:ascii="宋体"/>
                <w:color w:val="auto"/>
                <w:kern w:val="0"/>
                <w:sz w:val="24"/>
                <w:szCs w:val="24"/>
              </w:rPr>
              <w:t>“</w:t>
            </w:r>
            <w:r>
              <w:rPr>
                <w:rFonts w:hint="eastAsia" w:ascii="宋体" w:hAnsi="宋体" w:cs="宋体"/>
                <w:color w:val="auto"/>
                <w:kern w:val="0"/>
                <w:sz w:val="24"/>
                <w:szCs w:val="24"/>
              </w:rPr>
              <w:t>研发在京津、智造在安阳</w:t>
            </w:r>
            <w:r>
              <w:rPr>
                <w:rFonts w:hint="eastAsia" w:ascii="宋体"/>
                <w:color w:val="auto"/>
                <w:kern w:val="0"/>
                <w:sz w:val="24"/>
                <w:szCs w:val="24"/>
              </w:rPr>
              <w:t>”</w:t>
            </w:r>
            <w:r>
              <w:rPr>
                <w:rFonts w:hint="eastAsia" w:ascii="宋体" w:hAnsi="宋体" w:cs="宋体"/>
                <w:color w:val="auto"/>
                <w:kern w:val="0"/>
                <w:sz w:val="24"/>
                <w:szCs w:val="24"/>
              </w:rPr>
              <w:t>。全面推进与京津冀</w:t>
            </w:r>
            <w:r>
              <w:rPr>
                <w:rFonts w:hint="eastAsia" w:ascii="宋体" w:hAnsi="宋体" w:cs="宋体"/>
                <w:color w:val="auto"/>
                <w:kern w:val="0"/>
                <w:sz w:val="24"/>
                <w:szCs w:val="24"/>
              </w:rPr>
              <w:t>交通</w:t>
            </w:r>
            <w:r>
              <w:rPr>
                <w:rFonts w:hint="eastAsia" w:ascii="宋体" w:hAnsi="宋体" w:cs="宋体"/>
                <w:color w:val="auto"/>
                <w:kern w:val="0"/>
                <w:sz w:val="24"/>
                <w:szCs w:val="24"/>
                <w:lang w:eastAsia="zh-CN"/>
              </w:rPr>
              <w:t>设施</w:t>
            </w:r>
            <w:r>
              <w:rPr>
                <w:rFonts w:hint="eastAsia" w:ascii="宋体" w:hAnsi="宋体" w:cs="宋体"/>
                <w:color w:val="auto"/>
                <w:kern w:val="0"/>
                <w:sz w:val="24"/>
                <w:szCs w:val="24"/>
              </w:rPr>
              <w:t>的互联互通，打造联通京津冀都市圈和中原城市群大物流的中转区和集聚区。实行更加开放的人才政策，吸引京津冀高层次人才来安创业。</w:t>
            </w:r>
          </w:p>
          <w:p>
            <w:pPr>
              <w:spacing w:line="520" w:lineRule="exact"/>
              <w:ind w:firstLine="482" w:firstLineChars="200"/>
              <w:rPr>
                <w:rFonts w:ascii="宋体"/>
                <w:color w:val="auto"/>
                <w:kern w:val="0"/>
                <w:sz w:val="24"/>
                <w:szCs w:val="24"/>
              </w:rPr>
            </w:pPr>
            <w:r>
              <w:rPr>
                <w:rFonts w:hint="eastAsia" w:ascii="宋体" w:hAnsi="宋体" w:cs="宋体"/>
                <w:b/>
                <w:color w:val="auto"/>
                <w:kern w:val="0"/>
                <w:sz w:val="24"/>
                <w:szCs w:val="24"/>
              </w:rPr>
              <w:t>加快文化旅游开放发展进程。</w:t>
            </w:r>
            <w:r>
              <w:rPr>
                <w:rFonts w:hint="eastAsia" w:ascii="宋体" w:hAnsi="宋体" w:cs="宋体"/>
                <w:color w:val="auto"/>
                <w:kern w:val="0"/>
                <w:sz w:val="24"/>
                <w:szCs w:val="24"/>
              </w:rPr>
              <w:t>建立与邯郸、濮阳、鹤壁、聊城、长治、邢台等城市文旅协调发展机制，在学术研究、宣传推介、项目投资、企业合作、人才培训、市场管理等方面加强交流合作，积极创建国家级文旅融合发展示范区。进一步扩大航空文化旅游节、国际汉字大会、海峡两岸周易文化论坛等节会活动影响力，提升《汉字》国外巡展、国际航空运动赛事举办品质，加快文化旅游开放发展。</w:t>
            </w:r>
          </w:p>
          <w:p>
            <w:pPr>
              <w:spacing w:line="520" w:lineRule="exact"/>
              <w:ind w:firstLine="482" w:firstLineChars="200"/>
              <w:rPr>
                <w:rFonts w:ascii="Times New Roman" w:hAnsi="Times New Roman"/>
                <w:b/>
                <w:bCs/>
                <w:color w:val="auto"/>
                <w:kern w:val="0"/>
                <w:sz w:val="24"/>
                <w:szCs w:val="24"/>
              </w:rPr>
            </w:pPr>
            <w:r>
              <w:rPr>
                <w:rFonts w:hint="eastAsia" w:ascii="宋体" w:hAnsi="宋体" w:cs="宋体"/>
                <w:b/>
                <w:color w:val="auto"/>
                <w:kern w:val="0"/>
                <w:sz w:val="24"/>
                <w:szCs w:val="24"/>
              </w:rPr>
              <w:t>构建开放经济发展格局。</w:t>
            </w:r>
            <w:r>
              <w:rPr>
                <w:rFonts w:hint="eastAsia" w:ascii="宋体" w:hAnsi="宋体" w:cs="宋体"/>
                <w:color w:val="auto"/>
                <w:kern w:val="0"/>
                <w:sz w:val="24"/>
                <w:szCs w:val="24"/>
              </w:rPr>
              <w:t>依托安阳高新技术产业开发区、红旗渠经济技术开发区，推动开发区高质量发展，建设区域创新驱动发展示范区和全市开放型经济先行区。依托陆港型国家物流枢纽，畅通内外联结，加快建设保税物流中心，大力发展跨境电商，融入国际、国内物流供应链，拓展国际贸易，打造区域进出口货物集散中心。依托安阳机场、通用航空产业园，完善航空经济产业链，打造区域航空经济发展示范区。依托安阳东站、滑县高铁站、内黄县高铁站，大力发展总部经济，集聚高端商务资源，打造开放型高铁经济圈。到</w:t>
            </w:r>
            <w:r>
              <w:rPr>
                <w:rFonts w:ascii="宋体" w:hAnsi="宋体" w:cs="华文仿宋"/>
                <w:color w:val="auto"/>
                <w:kern w:val="0"/>
                <w:sz w:val="24"/>
                <w:szCs w:val="24"/>
              </w:rPr>
              <w:t>2025</w:t>
            </w:r>
            <w:r>
              <w:rPr>
                <w:rFonts w:hint="eastAsia" w:ascii="宋体" w:hAnsi="宋体" w:cs="宋体"/>
                <w:color w:val="auto"/>
                <w:kern w:val="0"/>
                <w:sz w:val="24"/>
                <w:szCs w:val="24"/>
              </w:rPr>
              <w:t>年，初步形成开发区经济、陆港经济、高铁经济、航空经济、口岸经济发展布局，加快推进开放型枢纽经济发展。</w:t>
            </w:r>
          </w:p>
        </w:tc>
      </w:tr>
    </w:tbl>
    <w:p>
      <w:pPr>
        <w:pStyle w:val="2"/>
        <w:spacing w:line="580" w:lineRule="exact"/>
        <w:ind w:firstLine="640" w:firstLineChars="200"/>
        <w:jc w:val="both"/>
        <w:rPr>
          <w:rFonts w:ascii="黑体"/>
          <w:b w:val="0"/>
          <w:bCs w:val="0"/>
          <w:color w:val="auto"/>
        </w:rPr>
      </w:pPr>
      <w:bookmarkStart w:id="53" w:name="_Toc99813113"/>
      <w:r>
        <w:rPr>
          <w:rFonts w:hint="eastAsia" w:ascii="黑体" w:hAnsi="黑体"/>
          <w:b w:val="0"/>
          <w:bCs w:val="0"/>
          <w:color w:val="auto"/>
        </w:rPr>
        <w:t>六、</w:t>
      </w:r>
      <w:bookmarkEnd w:id="53"/>
      <w:r>
        <w:rPr>
          <w:rFonts w:hint="eastAsia" w:ascii="黑体" w:hAnsi="黑体"/>
          <w:b w:val="0"/>
          <w:bCs w:val="0"/>
          <w:color w:val="auto"/>
        </w:rPr>
        <w:t>建立保障新机制</w:t>
      </w:r>
    </w:p>
    <w:p>
      <w:pPr>
        <w:pStyle w:val="3"/>
        <w:spacing w:line="580" w:lineRule="exact"/>
        <w:ind w:firstLine="640" w:firstLineChars="200"/>
        <w:rPr>
          <w:rFonts w:ascii="楷体_GB2312" w:hAnsi="华文楷体" w:eastAsia="楷体_GB2312" w:cs="华文楷体"/>
          <w:color w:val="auto"/>
        </w:rPr>
      </w:pPr>
      <w:bookmarkStart w:id="54" w:name="_Toc99813114"/>
      <w:r>
        <w:rPr>
          <w:rFonts w:hint="eastAsia" w:ascii="楷体_GB2312" w:hAnsi="华文楷体" w:eastAsia="楷体_GB2312" w:cs="华文楷体"/>
          <w:color w:val="auto"/>
        </w:rPr>
        <w:t>（一）健全组织管理</w:t>
      </w:r>
      <w:bookmarkEnd w:id="54"/>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推动设立安阳市现代服务业发展领导小组，加强对全市现代服务业发展的总体指导和统筹协调。领导小组办公室负责服务业发展建设各项推进工作，协调落实有关重大政策、重大项目和重大事项，做好与国家和省相关部门的沟通衔接。各县（市、区）政府相应成立领导和推进机构，负责组织实施本区域服务业发展相关工作。强化政绩考核，加强任务执行的跟踪检查，切实保障服务业规划的贯彻执行和具体落实。</w:t>
      </w:r>
    </w:p>
    <w:p>
      <w:pPr>
        <w:pStyle w:val="3"/>
        <w:spacing w:line="580" w:lineRule="exact"/>
        <w:ind w:firstLine="640" w:firstLineChars="200"/>
        <w:rPr>
          <w:rFonts w:ascii="楷体_GB2312" w:hAnsi="华文楷体" w:eastAsia="楷体_GB2312" w:cs="华文楷体"/>
          <w:color w:val="auto"/>
        </w:rPr>
      </w:pPr>
      <w:bookmarkStart w:id="55" w:name="_Toc62896880"/>
      <w:bookmarkStart w:id="56" w:name="_Toc99813115"/>
      <w:r>
        <w:rPr>
          <w:rFonts w:hint="eastAsia" w:ascii="楷体_GB2312" w:hAnsi="华文楷体" w:eastAsia="楷体_GB2312" w:cs="华文楷体"/>
          <w:color w:val="auto"/>
        </w:rPr>
        <w:t>（二）强化要素支撑</w:t>
      </w:r>
      <w:bookmarkEnd w:id="55"/>
      <w:bookmarkEnd w:id="56"/>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大土地要素保障。积极对接新一轮国土空间规划，优化土地供应调控机制，深化“亩均论英雄”改革，开展服务业企业亩产效益综合评价。在合法合规的前提下对服务业重大项目建设在用地指标上给予倾斜，重点保障物流、养老、托育等具有社会功能的服务业用地。</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强财政金融支持。积极争取国家、省资金支持，支持设立市级服务业发展专项资金，加大对生产性服务业和融合类、新业态新模式领域的支持力度，更好发挥政府投资基金引导作用，加大政府购买各类服务力度。健全适应服务业发展的金融服务体系，引导企业通过股权融资、债券融资等方式直接融资，加强服务业中小微企业信用贷款、中长期贷款、首贷支持。鼓励保险机构开发更多适应服务行业发展的险种。</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强化人才支撑体系。推动服务业高端人才需求纳入“洹泉涌流”人才集聚计划，实施更加开放的服务业人才引进政策，加大服务领域高端专业人才培养，扩大技能型人才规模，大力培养创新型、应用型、复合型人才。完善技能人才评价体系，进一步畅通非公经济组织人员和自由职业者职称申报渠道。</w:t>
      </w:r>
    </w:p>
    <w:p>
      <w:pPr>
        <w:pStyle w:val="3"/>
        <w:spacing w:line="580" w:lineRule="exact"/>
        <w:ind w:firstLine="640" w:firstLineChars="200"/>
        <w:rPr>
          <w:rFonts w:ascii="楷体_GB2312" w:hAnsi="华文楷体" w:eastAsia="楷体_GB2312" w:cs="华文楷体"/>
          <w:color w:val="auto"/>
        </w:rPr>
      </w:pPr>
      <w:bookmarkStart w:id="57" w:name="_Toc99813116"/>
      <w:r>
        <w:rPr>
          <w:rFonts w:hint="eastAsia" w:ascii="楷体_GB2312" w:hAnsi="华文楷体" w:eastAsia="楷体_GB2312" w:cs="华文楷体"/>
          <w:color w:val="auto"/>
        </w:rPr>
        <w:t>（三）优化营商环境</w:t>
      </w:r>
      <w:bookmarkEnd w:id="57"/>
    </w:p>
    <w:p>
      <w:pPr>
        <w:spacing w:line="580" w:lineRule="exact"/>
        <w:ind w:firstLine="640" w:firstLineChars="200"/>
        <w:rPr>
          <w:rFonts w:ascii="仿宋_GB2312" w:hAnsi="方正仿宋_GBK" w:eastAsia="仿宋_GB2312" w:cs="方正仿宋_GBK"/>
          <w:color w:val="auto"/>
          <w:sz w:val="32"/>
          <w:szCs w:val="32"/>
        </w:rPr>
      </w:pPr>
      <w:bookmarkStart w:id="58" w:name="_Toc99813117"/>
      <w:r>
        <w:rPr>
          <w:rFonts w:hint="eastAsia" w:ascii="仿宋_GB2312" w:hAnsi="方正仿宋_GBK" w:eastAsia="仿宋_GB2312" w:cs="方正仿宋_GBK"/>
          <w:color w:val="auto"/>
          <w:sz w:val="32"/>
          <w:szCs w:val="32"/>
        </w:rPr>
        <w:t>推进服务业改革创新。全面实施市场准入负面清单制度，按照国家、省部署，加快取消充分竞争性服务业领域准入限制，有序放开教育、医疗、市政等公共服务领域准入限制。加快服务业产品、模式、业态创新，打造一批现代服务业试点示范工程，加快建立竞争、有序、高效的现代服务业发展市场环境。</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优化政务服务环境。全面梳理新产业、新业态、新模式准入和行政许可流程，精简审批环节，推行企业投资项目承诺制。深化“互联网＋政务服务”，推动政务信息共享、互联互通和业务协同，大力推进网上移动办事和移动办公，扎实推进政务服务平台规范、标准、集约建设。持续推进公共服务价格领域“放管服效”改革，完善收费目录清单制度。</w:t>
      </w:r>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营造公平竞争政策环境。健全公平竞争审查规则和工作机制，强化竞争政策实施，清理行业准入、资质标准、政府采购等方面歧视性规定。健全知识产权评估机制和维权法律援助机制，不断规范服务流程和服务内容，打造市场主导的服务业发展标准化新环境。</w:t>
      </w:r>
    </w:p>
    <w:p>
      <w:pPr>
        <w:pStyle w:val="3"/>
        <w:spacing w:line="580" w:lineRule="exact"/>
        <w:ind w:firstLine="640" w:firstLineChars="200"/>
        <w:rPr>
          <w:rFonts w:ascii="楷体_GB2312" w:hAnsi="华文楷体" w:eastAsia="楷体_GB2312" w:cs="华文楷体"/>
          <w:color w:val="auto"/>
        </w:rPr>
      </w:pPr>
      <w:r>
        <w:rPr>
          <w:rFonts w:hint="eastAsia" w:ascii="楷体_GB2312" w:hAnsi="华文楷体" w:eastAsia="楷体_GB2312" w:cs="华文楷体"/>
          <w:color w:val="auto"/>
        </w:rPr>
        <w:t>（四）完善统计监测</w:t>
      </w:r>
      <w:bookmarkEnd w:id="58"/>
    </w:p>
    <w:p>
      <w:pPr>
        <w:spacing w:line="580" w:lineRule="exact"/>
        <w:ind w:firstLine="640" w:firstLineChars="200"/>
        <w:rPr>
          <w:rFonts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加强对生产性服务业和新兴服务业统计工作，加紧建立适应现代服务业快速发展、准确反映现代服务业发展状况的统计指标体系，提升服务业发展分析研判能力。加强和完善部门统计工作，共同做好服务业统计调查。强化部门间协调配合，建立健全部门统计信息共享、应用机制。加强对行业运行情况的监测分析，逐步形成年度、季度相关统计信息和监测分析报告发布机制。</w:t>
      </w:r>
    </w:p>
    <w:p>
      <w:pPr>
        <w:spacing w:line="600" w:lineRule="exact"/>
        <w:ind w:firstLine="640" w:firstLineChars="200"/>
        <w:rPr>
          <w:rFonts w:ascii="Times New Roman" w:hAnsi="Times New Roman" w:eastAsia="仿宋_GB2312"/>
          <w:color w:val="auto"/>
          <w:sz w:val="32"/>
          <w:szCs w:val="32"/>
        </w:rPr>
      </w:pPr>
    </w:p>
    <w:sectPr>
      <w:pgSz w:w="11906" w:h="16838"/>
      <w:pgMar w:top="1985" w:right="1474" w:bottom="1985" w:left="1588" w:header="851" w:footer="1418" w:gutter="0"/>
      <w:pgNumType w:start="4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
    <w:altName w:val="URW Bookman"/>
    <w:panose1 w:val="00000000000000000000"/>
    <w:charset w:val="00"/>
    <w:family w:val="auto"/>
    <w:pitch w:val="default"/>
    <w:sig w:usb0="00000000" w:usb1="00000000" w:usb2="00000000" w:usb3="00000000" w:csb0="00000001"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E-BX">
    <w:altName w:val="URW Bookman"/>
    <w:panose1 w:val="00000000000000000000"/>
    <w:charset w:val="00"/>
    <w:family w:val="roman"/>
    <w:pitch w:val="default"/>
    <w:sig w:usb0="00000000" w:usb1="00000000" w:usb2="00000000" w:usb3="00000000" w:csb0="00000001" w:csb1="00000000"/>
  </w:font>
  <w:font w:name="E-BZ-PK7488b-Identity-H">
    <w:altName w:val="URW Book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0"/>
        <w:rFonts w:asci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2</w:t>
    </w:r>
    <w:r>
      <w:rPr>
        <w:rStyle w:val="20"/>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7AF"/>
    <w:rsid w:val="00000366"/>
    <w:rsid w:val="00000AB2"/>
    <w:rsid w:val="00001163"/>
    <w:rsid w:val="00001172"/>
    <w:rsid w:val="000029D2"/>
    <w:rsid w:val="00002A99"/>
    <w:rsid w:val="00004928"/>
    <w:rsid w:val="0000551C"/>
    <w:rsid w:val="00005D20"/>
    <w:rsid w:val="000068D3"/>
    <w:rsid w:val="00006944"/>
    <w:rsid w:val="00007317"/>
    <w:rsid w:val="0001012F"/>
    <w:rsid w:val="0001061C"/>
    <w:rsid w:val="00011A41"/>
    <w:rsid w:val="00011E59"/>
    <w:rsid w:val="00013611"/>
    <w:rsid w:val="0001479F"/>
    <w:rsid w:val="00015430"/>
    <w:rsid w:val="0001639B"/>
    <w:rsid w:val="000163B7"/>
    <w:rsid w:val="000166AA"/>
    <w:rsid w:val="000169AF"/>
    <w:rsid w:val="00016D83"/>
    <w:rsid w:val="00016DD7"/>
    <w:rsid w:val="00017E04"/>
    <w:rsid w:val="00020741"/>
    <w:rsid w:val="000215AC"/>
    <w:rsid w:val="000215CA"/>
    <w:rsid w:val="000217F4"/>
    <w:rsid w:val="00023CEE"/>
    <w:rsid w:val="00024DF0"/>
    <w:rsid w:val="00025ABB"/>
    <w:rsid w:val="00026262"/>
    <w:rsid w:val="00026AED"/>
    <w:rsid w:val="00026FA5"/>
    <w:rsid w:val="00027B42"/>
    <w:rsid w:val="0003029E"/>
    <w:rsid w:val="000308DC"/>
    <w:rsid w:val="00030B55"/>
    <w:rsid w:val="00030FEE"/>
    <w:rsid w:val="00031803"/>
    <w:rsid w:val="00031C87"/>
    <w:rsid w:val="00031CD2"/>
    <w:rsid w:val="00034873"/>
    <w:rsid w:val="00035195"/>
    <w:rsid w:val="00036CEF"/>
    <w:rsid w:val="0004075D"/>
    <w:rsid w:val="00041221"/>
    <w:rsid w:val="000415EC"/>
    <w:rsid w:val="00041FCD"/>
    <w:rsid w:val="00042B99"/>
    <w:rsid w:val="00042D6E"/>
    <w:rsid w:val="00043F34"/>
    <w:rsid w:val="00043F8F"/>
    <w:rsid w:val="000442A4"/>
    <w:rsid w:val="0004576F"/>
    <w:rsid w:val="00046D95"/>
    <w:rsid w:val="00047576"/>
    <w:rsid w:val="00051A36"/>
    <w:rsid w:val="00051FBA"/>
    <w:rsid w:val="0005249C"/>
    <w:rsid w:val="00052BA6"/>
    <w:rsid w:val="00055607"/>
    <w:rsid w:val="00055B69"/>
    <w:rsid w:val="00056ED5"/>
    <w:rsid w:val="000574F6"/>
    <w:rsid w:val="000604BF"/>
    <w:rsid w:val="00060B4A"/>
    <w:rsid w:val="00060C05"/>
    <w:rsid w:val="00063D5F"/>
    <w:rsid w:val="000668DE"/>
    <w:rsid w:val="000670CE"/>
    <w:rsid w:val="000672E2"/>
    <w:rsid w:val="00067E21"/>
    <w:rsid w:val="00070147"/>
    <w:rsid w:val="00070215"/>
    <w:rsid w:val="0007068D"/>
    <w:rsid w:val="00070C65"/>
    <w:rsid w:val="00071AEB"/>
    <w:rsid w:val="00073663"/>
    <w:rsid w:val="00073DEA"/>
    <w:rsid w:val="00074A65"/>
    <w:rsid w:val="000754B5"/>
    <w:rsid w:val="00075F23"/>
    <w:rsid w:val="0007624D"/>
    <w:rsid w:val="00076294"/>
    <w:rsid w:val="00076A11"/>
    <w:rsid w:val="00077D73"/>
    <w:rsid w:val="00081AD9"/>
    <w:rsid w:val="00082106"/>
    <w:rsid w:val="000824FC"/>
    <w:rsid w:val="0008273A"/>
    <w:rsid w:val="00082DCB"/>
    <w:rsid w:val="00082FB8"/>
    <w:rsid w:val="000848EE"/>
    <w:rsid w:val="00084B7E"/>
    <w:rsid w:val="000857A8"/>
    <w:rsid w:val="00086622"/>
    <w:rsid w:val="000909A2"/>
    <w:rsid w:val="00090AFB"/>
    <w:rsid w:val="000939EA"/>
    <w:rsid w:val="00094BE1"/>
    <w:rsid w:val="00094EBD"/>
    <w:rsid w:val="00095673"/>
    <w:rsid w:val="000959F9"/>
    <w:rsid w:val="00095A56"/>
    <w:rsid w:val="00095F36"/>
    <w:rsid w:val="00096390"/>
    <w:rsid w:val="00097387"/>
    <w:rsid w:val="00097768"/>
    <w:rsid w:val="00097FB4"/>
    <w:rsid w:val="000A0026"/>
    <w:rsid w:val="000A0D3C"/>
    <w:rsid w:val="000A0F75"/>
    <w:rsid w:val="000A1527"/>
    <w:rsid w:val="000A192B"/>
    <w:rsid w:val="000A1AFF"/>
    <w:rsid w:val="000A1ED3"/>
    <w:rsid w:val="000A2003"/>
    <w:rsid w:val="000A219D"/>
    <w:rsid w:val="000A2612"/>
    <w:rsid w:val="000A2F1D"/>
    <w:rsid w:val="000A33F5"/>
    <w:rsid w:val="000A447D"/>
    <w:rsid w:val="000A4CAE"/>
    <w:rsid w:val="000A52B7"/>
    <w:rsid w:val="000A5CC3"/>
    <w:rsid w:val="000A5DB0"/>
    <w:rsid w:val="000A6370"/>
    <w:rsid w:val="000A6BD9"/>
    <w:rsid w:val="000A77E5"/>
    <w:rsid w:val="000A7F5A"/>
    <w:rsid w:val="000B08A3"/>
    <w:rsid w:val="000B1204"/>
    <w:rsid w:val="000B18E0"/>
    <w:rsid w:val="000B1DB9"/>
    <w:rsid w:val="000B2D62"/>
    <w:rsid w:val="000B304E"/>
    <w:rsid w:val="000B3A13"/>
    <w:rsid w:val="000B479C"/>
    <w:rsid w:val="000B4DA5"/>
    <w:rsid w:val="000B50DC"/>
    <w:rsid w:val="000B50ED"/>
    <w:rsid w:val="000B567E"/>
    <w:rsid w:val="000B5799"/>
    <w:rsid w:val="000B6139"/>
    <w:rsid w:val="000B67A5"/>
    <w:rsid w:val="000B7149"/>
    <w:rsid w:val="000B7206"/>
    <w:rsid w:val="000B7F55"/>
    <w:rsid w:val="000C0163"/>
    <w:rsid w:val="000C0865"/>
    <w:rsid w:val="000C0E8A"/>
    <w:rsid w:val="000C1002"/>
    <w:rsid w:val="000C1827"/>
    <w:rsid w:val="000C1BD4"/>
    <w:rsid w:val="000C261D"/>
    <w:rsid w:val="000C267B"/>
    <w:rsid w:val="000C2681"/>
    <w:rsid w:val="000C2F91"/>
    <w:rsid w:val="000C3062"/>
    <w:rsid w:val="000C3CC5"/>
    <w:rsid w:val="000C4A7C"/>
    <w:rsid w:val="000C51F4"/>
    <w:rsid w:val="000C5911"/>
    <w:rsid w:val="000C75FE"/>
    <w:rsid w:val="000D0581"/>
    <w:rsid w:val="000D25A7"/>
    <w:rsid w:val="000D2A8E"/>
    <w:rsid w:val="000D401F"/>
    <w:rsid w:val="000D4BC7"/>
    <w:rsid w:val="000D5DEC"/>
    <w:rsid w:val="000D5FFA"/>
    <w:rsid w:val="000D6DFA"/>
    <w:rsid w:val="000E03DD"/>
    <w:rsid w:val="000E0413"/>
    <w:rsid w:val="000E11B0"/>
    <w:rsid w:val="000E11FF"/>
    <w:rsid w:val="000E1C07"/>
    <w:rsid w:val="000E1D7C"/>
    <w:rsid w:val="000E2537"/>
    <w:rsid w:val="000E3A3B"/>
    <w:rsid w:val="000E4127"/>
    <w:rsid w:val="000E5B53"/>
    <w:rsid w:val="000E65D6"/>
    <w:rsid w:val="000E7F32"/>
    <w:rsid w:val="000F06C8"/>
    <w:rsid w:val="000F1789"/>
    <w:rsid w:val="000F1EA9"/>
    <w:rsid w:val="000F27BB"/>
    <w:rsid w:val="000F306F"/>
    <w:rsid w:val="000F3185"/>
    <w:rsid w:val="000F3A64"/>
    <w:rsid w:val="000F466A"/>
    <w:rsid w:val="000F47C4"/>
    <w:rsid w:val="000F5107"/>
    <w:rsid w:val="000F52A9"/>
    <w:rsid w:val="000F571F"/>
    <w:rsid w:val="000F62D5"/>
    <w:rsid w:val="000F6890"/>
    <w:rsid w:val="000F6CE5"/>
    <w:rsid w:val="000F6D0A"/>
    <w:rsid w:val="000F768C"/>
    <w:rsid w:val="0010064F"/>
    <w:rsid w:val="0010137B"/>
    <w:rsid w:val="001016E1"/>
    <w:rsid w:val="00102B8D"/>
    <w:rsid w:val="00102D1F"/>
    <w:rsid w:val="00104547"/>
    <w:rsid w:val="00105968"/>
    <w:rsid w:val="00105AEE"/>
    <w:rsid w:val="001068E3"/>
    <w:rsid w:val="0011071B"/>
    <w:rsid w:val="00111409"/>
    <w:rsid w:val="0011149E"/>
    <w:rsid w:val="00111A67"/>
    <w:rsid w:val="00112364"/>
    <w:rsid w:val="00112383"/>
    <w:rsid w:val="001134BE"/>
    <w:rsid w:val="0011371E"/>
    <w:rsid w:val="0011384B"/>
    <w:rsid w:val="00114446"/>
    <w:rsid w:val="001144DD"/>
    <w:rsid w:val="001153C5"/>
    <w:rsid w:val="001200AD"/>
    <w:rsid w:val="001207AD"/>
    <w:rsid w:val="00120F34"/>
    <w:rsid w:val="00120F38"/>
    <w:rsid w:val="00121B26"/>
    <w:rsid w:val="00121CDB"/>
    <w:rsid w:val="001222CB"/>
    <w:rsid w:val="001236BE"/>
    <w:rsid w:val="001236F4"/>
    <w:rsid w:val="00124879"/>
    <w:rsid w:val="00124ABD"/>
    <w:rsid w:val="0012561A"/>
    <w:rsid w:val="001256A4"/>
    <w:rsid w:val="0012684E"/>
    <w:rsid w:val="00126BFB"/>
    <w:rsid w:val="001272A8"/>
    <w:rsid w:val="00127F4F"/>
    <w:rsid w:val="0013065B"/>
    <w:rsid w:val="001326EC"/>
    <w:rsid w:val="00132CBC"/>
    <w:rsid w:val="00132D23"/>
    <w:rsid w:val="00134CA0"/>
    <w:rsid w:val="00134D44"/>
    <w:rsid w:val="00135D5D"/>
    <w:rsid w:val="001364A2"/>
    <w:rsid w:val="001371A0"/>
    <w:rsid w:val="001372C3"/>
    <w:rsid w:val="0013744C"/>
    <w:rsid w:val="00137492"/>
    <w:rsid w:val="00142170"/>
    <w:rsid w:val="001421A4"/>
    <w:rsid w:val="001428F0"/>
    <w:rsid w:val="00142AFE"/>
    <w:rsid w:val="00143303"/>
    <w:rsid w:val="00143D57"/>
    <w:rsid w:val="001442D4"/>
    <w:rsid w:val="0014444E"/>
    <w:rsid w:val="001471E6"/>
    <w:rsid w:val="00147CBD"/>
    <w:rsid w:val="0015024A"/>
    <w:rsid w:val="00153D1B"/>
    <w:rsid w:val="001552F3"/>
    <w:rsid w:val="001555E8"/>
    <w:rsid w:val="00156661"/>
    <w:rsid w:val="001600F4"/>
    <w:rsid w:val="001607E8"/>
    <w:rsid w:val="00160CA0"/>
    <w:rsid w:val="00161567"/>
    <w:rsid w:val="00161692"/>
    <w:rsid w:val="00163C03"/>
    <w:rsid w:val="0016527B"/>
    <w:rsid w:val="001674D5"/>
    <w:rsid w:val="00167BCA"/>
    <w:rsid w:val="00170373"/>
    <w:rsid w:val="00170867"/>
    <w:rsid w:val="00170E13"/>
    <w:rsid w:val="00171434"/>
    <w:rsid w:val="001732C6"/>
    <w:rsid w:val="0017476D"/>
    <w:rsid w:val="001750D0"/>
    <w:rsid w:val="00175695"/>
    <w:rsid w:val="0017584F"/>
    <w:rsid w:val="001759BF"/>
    <w:rsid w:val="00176A14"/>
    <w:rsid w:val="00176A5E"/>
    <w:rsid w:val="00177668"/>
    <w:rsid w:val="001803D3"/>
    <w:rsid w:val="001811A2"/>
    <w:rsid w:val="0018235B"/>
    <w:rsid w:val="0018242F"/>
    <w:rsid w:val="00182732"/>
    <w:rsid w:val="001829ED"/>
    <w:rsid w:val="001834AA"/>
    <w:rsid w:val="0018433A"/>
    <w:rsid w:val="001845A7"/>
    <w:rsid w:val="001845D2"/>
    <w:rsid w:val="00184CB9"/>
    <w:rsid w:val="00185229"/>
    <w:rsid w:val="00185392"/>
    <w:rsid w:val="00185FB5"/>
    <w:rsid w:val="00187BC5"/>
    <w:rsid w:val="00187D47"/>
    <w:rsid w:val="00190984"/>
    <w:rsid w:val="00191D5A"/>
    <w:rsid w:val="0019398E"/>
    <w:rsid w:val="001946AC"/>
    <w:rsid w:val="001949D3"/>
    <w:rsid w:val="00195530"/>
    <w:rsid w:val="00196139"/>
    <w:rsid w:val="0019676B"/>
    <w:rsid w:val="001973E4"/>
    <w:rsid w:val="001A1154"/>
    <w:rsid w:val="001A178F"/>
    <w:rsid w:val="001A1E8F"/>
    <w:rsid w:val="001A213C"/>
    <w:rsid w:val="001A2D38"/>
    <w:rsid w:val="001A2E55"/>
    <w:rsid w:val="001A2ECC"/>
    <w:rsid w:val="001A38BA"/>
    <w:rsid w:val="001A4240"/>
    <w:rsid w:val="001A4C57"/>
    <w:rsid w:val="001A56C7"/>
    <w:rsid w:val="001A5B8A"/>
    <w:rsid w:val="001A7606"/>
    <w:rsid w:val="001A7CC3"/>
    <w:rsid w:val="001A7E91"/>
    <w:rsid w:val="001B1063"/>
    <w:rsid w:val="001B1E5D"/>
    <w:rsid w:val="001B3351"/>
    <w:rsid w:val="001B3512"/>
    <w:rsid w:val="001B4500"/>
    <w:rsid w:val="001B5169"/>
    <w:rsid w:val="001B52C7"/>
    <w:rsid w:val="001B6021"/>
    <w:rsid w:val="001B63B7"/>
    <w:rsid w:val="001C08B5"/>
    <w:rsid w:val="001C0B93"/>
    <w:rsid w:val="001C10DC"/>
    <w:rsid w:val="001C15AD"/>
    <w:rsid w:val="001C20E1"/>
    <w:rsid w:val="001C213E"/>
    <w:rsid w:val="001C27A5"/>
    <w:rsid w:val="001C35F2"/>
    <w:rsid w:val="001C38D2"/>
    <w:rsid w:val="001C3C02"/>
    <w:rsid w:val="001C3C26"/>
    <w:rsid w:val="001C53A5"/>
    <w:rsid w:val="001C6BC0"/>
    <w:rsid w:val="001C74FF"/>
    <w:rsid w:val="001C7835"/>
    <w:rsid w:val="001C7D32"/>
    <w:rsid w:val="001D100E"/>
    <w:rsid w:val="001D168F"/>
    <w:rsid w:val="001D3C78"/>
    <w:rsid w:val="001D3D82"/>
    <w:rsid w:val="001D44AB"/>
    <w:rsid w:val="001D515F"/>
    <w:rsid w:val="001D5B53"/>
    <w:rsid w:val="001D62A2"/>
    <w:rsid w:val="001D6402"/>
    <w:rsid w:val="001D66D3"/>
    <w:rsid w:val="001D6CA4"/>
    <w:rsid w:val="001D6D64"/>
    <w:rsid w:val="001D6EEE"/>
    <w:rsid w:val="001D77C0"/>
    <w:rsid w:val="001E08A5"/>
    <w:rsid w:val="001E114F"/>
    <w:rsid w:val="001E161A"/>
    <w:rsid w:val="001E24B5"/>
    <w:rsid w:val="001E291C"/>
    <w:rsid w:val="001E2A88"/>
    <w:rsid w:val="001E3047"/>
    <w:rsid w:val="001E3680"/>
    <w:rsid w:val="001E3945"/>
    <w:rsid w:val="001E4703"/>
    <w:rsid w:val="001E505F"/>
    <w:rsid w:val="001E5B5B"/>
    <w:rsid w:val="001E5CBB"/>
    <w:rsid w:val="001E75E2"/>
    <w:rsid w:val="001F0F91"/>
    <w:rsid w:val="001F12A4"/>
    <w:rsid w:val="001F17B0"/>
    <w:rsid w:val="001F2020"/>
    <w:rsid w:val="001F2F5D"/>
    <w:rsid w:val="001F34B6"/>
    <w:rsid w:val="001F35B7"/>
    <w:rsid w:val="001F5222"/>
    <w:rsid w:val="001F5C91"/>
    <w:rsid w:val="001F5D92"/>
    <w:rsid w:val="001F6576"/>
    <w:rsid w:val="001F6D7B"/>
    <w:rsid w:val="001F74DF"/>
    <w:rsid w:val="001F76AC"/>
    <w:rsid w:val="001F7D63"/>
    <w:rsid w:val="001F7DD0"/>
    <w:rsid w:val="002004A0"/>
    <w:rsid w:val="00200A1D"/>
    <w:rsid w:val="00200D6E"/>
    <w:rsid w:val="002010D7"/>
    <w:rsid w:val="00201748"/>
    <w:rsid w:val="00202E2B"/>
    <w:rsid w:val="00203D2F"/>
    <w:rsid w:val="00204BF6"/>
    <w:rsid w:val="00204EA1"/>
    <w:rsid w:val="002054A7"/>
    <w:rsid w:val="00205DE7"/>
    <w:rsid w:val="0020619E"/>
    <w:rsid w:val="0020631B"/>
    <w:rsid w:val="0020647C"/>
    <w:rsid w:val="00210083"/>
    <w:rsid w:val="00210296"/>
    <w:rsid w:val="00210F1A"/>
    <w:rsid w:val="00210F36"/>
    <w:rsid w:val="002110DC"/>
    <w:rsid w:val="0021183C"/>
    <w:rsid w:val="002119C4"/>
    <w:rsid w:val="002121E5"/>
    <w:rsid w:val="00212A9A"/>
    <w:rsid w:val="00213251"/>
    <w:rsid w:val="0021345D"/>
    <w:rsid w:val="002135F1"/>
    <w:rsid w:val="0021371D"/>
    <w:rsid w:val="00213DCC"/>
    <w:rsid w:val="00214325"/>
    <w:rsid w:val="00215238"/>
    <w:rsid w:val="00216FB9"/>
    <w:rsid w:val="00217821"/>
    <w:rsid w:val="00217FEC"/>
    <w:rsid w:val="00220140"/>
    <w:rsid w:val="00220C86"/>
    <w:rsid w:val="00221D8B"/>
    <w:rsid w:val="00222D9A"/>
    <w:rsid w:val="002234F3"/>
    <w:rsid w:val="002236B7"/>
    <w:rsid w:val="00223CB0"/>
    <w:rsid w:val="00225B1C"/>
    <w:rsid w:val="00225F82"/>
    <w:rsid w:val="002261D0"/>
    <w:rsid w:val="00226A20"/>
    <w:rsid w:val="00227AB5"/>
    <w:rsid w:val="002307AE"/>
    <w:rsid w:val="00230812"/>
    <w:rsid w:val="00230BF6"/>
    <w:rsid w:val="00232426"/>
    <w:rsid w:val="002327EE"/>
    <w:rsid w:val="00233E4D"/>
    <w:rsid w:val="00234AC1"/>
    <w:rsid w:val="00234FA0"/>
    <w:rsid w:val="00235D33"/>
    <w:rsid w:val="00235E82"/>
    <w:rsid w:val="00236865"/>
    <w:rsid w:val="00236BC0"/>
    <w:rsid w:val="002370CF"/>
    <w:rsid w:val="00240379"/>
    <w:rsid w:val="00240D37"/>
    <w:rsid w:val="002417DC"/>
    <w:rsid w:val="00241DC7"/>
    <w:rsid w:val="002422F9"/>
    <w:rsid w:val="0024368E"/>
    <w:rsid w:val="00243FCF"/>
    <w:rsid w:val="00244A6A"/>
    <w:rsid w:val="00245050"/>
    <w:rsid w:val="00245323"/>
    <w:rsid w:val="00245A49"/>
    <w:rsid w:val="00246CC6"/>
    <w:rsid w:val="0024776A"/>
    <w:rsid w:val="00247774"/>
    <w:rsid w:val="002512F7"/>
    <w:rsid w:val="00251817"/>
    <w:rsid w:val="00251BF8"/>
    <w:rsid w:val="00251FE7"/>
    <w:rsid w:val="0025386D"/>
    <w:rsid w:val="002540F8"/>
    <w:rsid w:val="002557C6"/>
    <w:rsid w:val="002564F4"/>
    <w:rsid w:val="00256C66"/>
    <w:rsid w:val="002570C3"/>
    <w:rsid w:val="00257F00"/>
    <w:rsid w:val="00261181"/>
    <w:rsid w:val="00263C23"/>
    <w:rsid w:val="0026464F"/>
    <w:rsid w:val="00264993"/>
    <w:rsid w:val="002649A7"/>
    <w:rsid w:val="00264D03"/>
    <w:rsid w:val="002654D7"/>
    <w:rsid w:val="00266283"/>
    <w:rsid w:val="002663AC"/>
    <w:rsid w:val="00266703"/>
    <w:rsid w:val="002705DB"/>
    <w:rsid w:val="00270F4D"/>
    <w:rsid w:val="00272238"/>
    <w:rsid w:val="002751FE"/>
    <w:rsid w:val="00275A63"/>
    <w:rsid w:val="00275DCB"/>
    <w:rsid w:val="00276377"/>
    <w:rsid w:val="002771E9"/>
    <w:rsid w:val="00277322"/>
    <w:rsid w:val="002773E0"/>
    <w:rsid w:val="00277F6D"/>
    <w:rsid w:val="0028039F"/>
    <w:rsid w:val="002814FB"/>
    <w:rsid w:val="00281F16"/>
    <w:rsid w:val="002820DC"/>
    <w:rsid w:val="00285F01"/>
    <w:rsid w:val="00286750"/>
    <w:rsid w:val="002909C5"/>
    <w:rsid w:val="00290E07"/>
    <w:rsid w:val="0029177E"/>
    <w:rsid w:val="002924BA"/>
    <w:rsid w:val="002933A3"/>
    <w:rsid w:val="00293F27"/>
    <w:rsid w:val="002941F8"/>
    <w:rsid w:val="00294519"/>
    <w:rsid w:val="002946FC"/>
    <w:rsid w:val="00294EAE"/>
    <w:rsid w:val="00294F1C"/>
    <w:rsid w:val="002959E6"/>
    <w:rsid w:val="00296B45"/>
    <w:rsid w:val="00297E2E"/>
    <w:rsid w:val="002A0615"/>
    <w:rsid w:val="002A07C6"/>
    <w:rsid w:val="002A0A82"/>
    <w:rsid w:val="002A1D68"/>
    <w:rsid w:val="002A25C3"/>
    <w:rsid w:val="002A2CAA"/>
    <w:rsid w:val="002A33EC"/>
    <w:rsid w:val="002A36F8"/>
    <w:rsid w:val="002A3BE2"/>
    <w:rsid w:val="002A3DC7"/>
    <w:rsid w:val="002A3DF8"/>
    <w:rsid w:val="002A6D53"/>
    <w:rsid w:val="002A73DA"/>
    <w:rsid w:val="002B0299"/>
    <w:rsid w:val="002B0B35"/>
    <w:rsid w:val="002B25FD"/>
    <w:rsid w:val="002B29E8"/>
    <w:rsid w:val="002B468C"/>
    <w:rsid w:val="002B4955"/>
    <w:rsid w:val="002B501F"/>
    <w:rsid w:val="002B5379"/>
    <w:rsid w:val="002B5397"/>
    <w:rsid w:val="002B6BC3"/>
    <w:rsid w:val="002B6F5A"/>
    <w:rsid w:val="002B70A8"/>
    <w:rsid w:val="002B7229"/>
    <w:rsid w:val="002B7C72"/>
    <w:rsid w:val="002C00F2"/>
    <w:rsid w:val="002C040B"/>
    <w:rsid w:val="002C0567"/>
    <w:rsid w:val="002C1101"/>
    <w:rsid w:val="002C153C"/>
    <w:rsid w:val="002C1ACA"/>
    <w:rsid w:val="002C33E0"/>
    <w:rsid w:val="002C439A"/>
    <w:rsid w:val="002C43A9"/>
    <w:rsid w:val="002C4D5B"/>
    <w:rsid w:val="002C5180"/>
    <w:rsid w:val="002C54D2"/>
    <w:rsid w:val="002C55D9"/>
    <w:rsid w:val="002C5EB2"/>
    <w:rsid w:val="002C706E"/>
    <w:rsid w:val="002C757E"/>
    <w:rsid w:val="002D09A5"/>
    <w:rsid w:val="002D3756"/>
    <w:rsid w:val="002D479E"/>
    <w:rsid w:val="002D47B9"/>
    <w:rsid w:val="002D4837"/>
    <w:rsid w:val="002D4D3E"/>
    <w:rsid w:val="002D5187"/>
    <w:rsid w:val="002D55A1"/>
    <w:rsid w:val="002D57F0"/>
    <w:rsid w:val="002D5AED"/>
    <w:rsid w:val="002D6197"/>
    <w:rsid w:val="002D7C64"/>
    <w:rsid w:val="002D7CDC"/>
    <w:rsid w:val="002E19A0"/>
    <w:rsid w:val="002E2CFB"/>
    <w:rsid w:val="002E2FA5"/>
    <w:rsid w:val="002E384C"/>
    <w:rsid w:val="002E3ACD"/>
    <w:rsid w:val="002E3AD7"/>
    <w:rsid w:val="002E4D69"/>
    <w:rsid w:val="002E5332"/>
    <w:rsid w:val="002E5394"/>
    <w:rsid w:val="002E5878"/>
    <w:rsid w:val="002E672D"/>
    <w:rsid w:val="002E69E9"/>
    <w:rsid w:val="002E6C5A"/>
    <w:rsid w:val="002E71BB"/>
    <w:rsid w:val="002E7921"/>
    <w:rsid w:val="002F1656"/>
    <w:rsid w:val="002F1D8C"/>
    <w:rsid w:val="002F1E16"/>
    <w:rsid w:val="002F1F37"/>
    <w:rsid w:val="002F1F4B"/>
    <w:rsid w:val="002F2C5E"/>
    <w:rsid w:val="002F32FB"/>
    <w:rsid w:val="002F3C8B"/>
    <w:rsid w:val="002F449E"/>
    <w:rsid w:val="002F470E"/>
    <w:rsid w:val="002F4A23"/>
    <w:rsid w:val="002F5292"/>
    <w:rsid w:val="002F5F4F"/>
    <w:rsid w:val="002F6051"/>
    <w:rsid w:val="002F66B5"/>
    <w:rsid w:val="002F695C"/>
    <w:rsid w:val="002F7A45"/>
    <w:rsid w:val="002F7A9D"/>
    <w:rsid w:val="0030095A"/>
    <w:rsid w:val="00300D82"/>
    <w:rsid w:val="00301CC8"/>
    <w:rsid w:val="00302168"/>
    <w:rsid w:val="003027AC"/>
    <w:rsid w:val="00302A36"/>
    <w:rsid w:val="00302DCA"/>
    <w:rsid w:val="00302DF0"/>
    <w:rsid w:val="0030359D"/>
    <w:rsid w:val="003039B6"/>
    <w:rsid w:val="0030442B"/>
    <w:rsid w:val="00304511"/>
    <w:rsid w:val="00304B4E"/>
    <w:rsid w:val="00304C4A"/>
    <w:rsid w:val="00305114"/>
    <w:rsid w:val="003061BC"/>
    <w:rsid w:val="00306364"/>
    <w:rsid w:val="003069B3"/>
    <w:rsid w:val="00307E9C"/>
    <w:rsid w:val="00307EC6"/>
    <w:rsid w:val="00311EB1"/>
    <w:rsid w:val="00311F44"/>
    <w:rsid w:val="00312370"/>
    <w:rsid w:val="003127A4"/>
    <w:rsid w:val="0031508F"/>
    <w:rsid w:val="003157D6"/>
    <w:rsid w:val="00315F8F"/>
    <w:rsid w:val="0031673A"/>
    <w:rsid w:val="00316ACB"/>
    <w:rsid w:val="00316CC3"/>
    <w:rsid w:val="00316E50"/>
    <w:rsid w:val="0031722E"/>
    <w:rsid w:val="003172FF"/>
    <w:rsid w:val="00317499"/>
    <w:rsid w:val="0031749B"/>
    <w:rsid w:val="00317728"/>
    <w:rsid w:val="00317B89"/>
    <w:rsid w:val="00320811"/>
    <w:rsid w:val="0032097C"/>
    <w:rsid w:val="00321E49"/>
    <w:rsid w:val="003222EF"/>
    <w:rsid w:val="003233EF"/>
    <w:rsid w:val="00323B2B"/>
    <w:rsid w:val="00324B12"/>
    <w:rsid w:val="00324E94"/>
    <w:rsid w:val="003250A6"/>
    <w:rsid w:val="003253CF"/>
    <w:rsid w:val="003254C6"/>
    <w:rsid w:val="00326E94"/>
    <w:rsid w:val="00327755"/>
    <w:rsid w:val="00327F81"/>
    <w:rsid w:val="003309DA"/>
    <w:rsid w:val="00330C29"/>
    <w:rsid w:val="00330F0F"/>
    <w:rsid w:val="00331124"/>
    <w:rsid w:val="00331CBE"/>
    <w:rsid w:val="00331D36"/>
    <w:rsid w:val="0033222C"/>
    <w:rsid w:val="00332965"/>
    <w:rsid w:val="00332FF1"/>
    <w:rsid w:val="00333651"/>
    <w:rsid w:val="00333E3E"/>
    <w:rsid w:val="0033503D"/>
    <w:rsid w:val="0033527C"/>
    <w:rsid w:val="0034002E"/>
    <w:rsid w:val="00340561"/>
    <w:rsid w:val="0034066B"/>
    <w:rsid w:val="00341349"/>
    <w:rsid w:val="00341F7A"/>
    <w:rsid w:val="003433C6"/>
    <w:rsid w:val="00344BA5"/>
    <w:rsid w:val="00345A13"/>
    <w:rsid w:val="00346E07"/>
    <w:rsid w:val="00347675"/>
    <w:rsid w:val="0034778B"/>
    <w:rsid w:val="00350068"/>
    <w:rsid w:val="0035060C"/>
    <w:rsid w:val="00350BBD"/>
    <w:rsid w:val="00350FEA"/>
    <w:rsid w:val="00351A5F"/>
    <w:rsid w:val="00351D05"/>
    <w:rsid w:val="00352478"/>
    <w:rsid w:val="00354B94"/>
    <w:rsid w:val="003557F9"/>
    <w:rsid w:val="00355A67"/>
    <w:rsid w:val="00356029"/>
    <w:rsid w:val="00356EBE"/>
    <w:rsid w:val="003578E6"/>
    <w:rsid w:val="00357D18"/>
    <w:rsid w:val="0036110D"/>
    <w:rsid w:val="00362871"/>
    <w:rsid w:val="00362E96"/>
    <w:rsid w:val="00364332"/>
    <w:rsid w:val="00364A00"/>
    <w:rsid w:val="00364F73"/>
    <w:rsid w:val="00366CDA"/>
    <w:rsid w:val="00371411"/>
    <w:rsid w:val="00371754"/>
    <w:rsid w:val="003718AA"/>
    <w:rsid w:val="00371A8C"/>
    <w:rsid w:val="00372AB3"/>
    <w:rsid w:val="00373439"/>
    <w:rsid w:val="00374273"/>
    <w:rsid w:val="00374ABE"/>
    <w:rsid w:val="00375664"/>
    <w:rsid w:val="00375B77"/>
    <w:rsid w:val="0037659A"/>
    <w:rsid w:val="00376751"/>
    <w:rsid w:val="00376F96"/>
    <w:rsid w:val="00380207"/>
    <w:rsid w:val="00380542"/>
    <w:rsid w:val="00381557"/>
    <w:rsid w:val="0038211A"/>
    <w:rsid w:val="0038334C"/>
    <w:rsid w:val="00383DD0"/>
    <w:rsid w:val="00383EC1"/>
    <w:rsid w:val="0038449B"/>
    <w:rsid w:val="00384F0E"/>
    <w:rsid w:val="003857E2"/>
    <w:rsid w:val="00387BE2"/>
    <w:rsid w:val="00392BAA"/>
    <w:rsid w:val="0039479D"/>
    <w:rsid w:val="00394886"/>
    <w:rsid w:val="00395B1C"/>
    <w:rsid w:val="003960BA"/>
    <w:rsid w:val="00396F25"/>
    <w:rsid w:val="003A052F"/>
    <w:rsid w:val="003A0932"/>
    <w:rsid w:val="003A0A83"/>
    <w:rsid w:val="003A172D"/>
    <w:rsid w:val="003A18C8"/>
    <w:rsid w:val="003A1A54"/>
    <w:rsid w:val="003A1B03"/>
    <w:rsid w:val="003A25A4"/>
    <w:rsid w:val="003A2B58"/>
    <w:rsid w:val="003A3E6E"/>
    <w:rsid w:val="003A432E"/>
    <w:rsid w:val="003A4888"/>
    <w:rsid w:val="003A58C4"/>
    <w:rsid w:val="003A6C45"/>
    <w:rsid w:val="003B0934"/>
    <w:rsid w:val="003B0AB4"/>
    <w:rsid w:val="003B1EC6"/>
    <w:rsid w:val="003B2450"/>
    <w:rsid w:val="003B276F"/>
    <w:rsid w:val="003B2A63"/>
    <w:rsid w:val="003B2B0D"/>
    <w:rsid w:val="003B35EA"/>
    <w:rsid w:val="003B3918"/>
    <w:rsid w:val="003B4C6C"/>
    <w:rsid w:val="003B6146"/>
    <w:rsid w:val="003B6E01"/>
    <w:rsid w:val="003B73D2"/>
    <w:rsid w:val="003B776E"/>
    <w:rsid w:val="003C0322"/>
    <w:rsid w:val="003C09A5"/>
    <w:rsid w:val="003C0ACB"/>
    <w:rsid w:val="003C0B60"/>
    <w:rsid w:val="003C219C"/>
    <w:rsid w:val="003C42E9"/>
    <w:rsid w:val="003C4F8E"/>
    <w:rsid w:val="003C500D"/>
    <w:rsid w:val="003C72C4"/>
    <w:rsid w:val="003D025D"/>
    <w:rsid w:val="003D0316"/>
    <w:rsid w:val="003D0AF4"/>
    <w:rsid w:val="003D10B2"/>
    <w:rsid w:val="003D10DB"/>
    <w:rsid w:val="003D1805"/>
    <w:rsid w:val="003D1991"/>
    <w:rsid w:val="003D2828"/>
    <w:rsid w:val="003D2D7F"/>
    <w:rsid w:val="003D4139"/>
    <w:rsid w:val="003D41CD"/>
    <w:rsid w:val="003D458A"/>
    <w:rsid w:val="003D4D2E"/>
    <w:rsid w:val="003D5053"/>
    <w:rsid w:val="003D529F"/>
    <w:rsid w:val="003D5C8B"/>
    <w:rsid w:val="003D5FAA"/>
    <w:rsid w:val="003D635E"/>
    <w:rsid w:val="003D638B"/>
    <w:rsid w:val="003D669B"/>
    <w:rsid w:val="003D696B"/>
    <w:rsid w:val="003D6CFC"/>
    <w:rsid w:val="003D7469"/>
    <w:rsid w:val="003D7CAA"/>
    <w:rsid w:val="003E015B"/>
    <w:rsid w:val="003E0190"/>
    <w:rsid w:val="003E02FA"/>
    <w:rsid w:val="003E03E8"/>
    <w:rsid w:val="003E0846"/>
    <w:rsid w:val="003E0ADF"/>
    <w:rsid w:val="003E0B8B"/>
    <w:rsid w:val="003E1C1A"/>
    <w:rsid w:val="003E227E"/>
    <w:rsid w:val="003E275B"/>
    <w:rsid w:val="003E2E12"/>
    <w:rsid w:val="003E431D"/>
    <w:rsid w:val="003E45B1"/>
    <w:rsid w:val="003E4C75"/>
    <w:rsid w:val="003E5D66"/>
    <w:rsid w:val="003E6BD6"/>
    <w:rsid w:val="003E6C8D"/>
    <w:rsid w:val="003E74E1"/>
    <w:rsid w:val="003E77AD"/>
    <w:rsid w:val="003F0C3F"/>
    <w:rsid w:val="003F11DD"/>
    <w:rsid w:val="003F18C5"/>
    <w:rsid w:val="003F1989"/>
    <w:rsid w:val="003F2091"/>
    <w:rsid w:val="003F2E2D"/>
    <w:rsid w:val="003F34C7"/>
    <w:rsid w:val="003F38D5"/>
    <w:rsid w:val="003F3E92"/>
    <w:rsid w:val="003F479F"/>
    <w:rsid w:val="003F589E"/>
    <w:rsid w:val="003F59DA"/>
    <w:rsid w:val="003F5DBE"/>
    <w:rsid w:val="003F623D"/>
    <w:rsid w:val="003F6409"/>
    <w:rsid w:val="003F7A13"/>
    <w:rsid w:val="00400353"/>
    <w:rsid w:val="00400434"/>
    <w:rsid w:val="004015EB"/>
    <w:rsid w:val="00401995"/>
    <w:rsid w:val="00401EAF"/>
    <w:rsid w:val="0040231F"/>
    <w:rsid w:val="0040319A"/>
    <w:rsid w:val="00403244"/>
    <w:rsid w:val="00403CD0"/>
    <w:rsid w:val="00404433"/>
    <w:rsid w:val="00404EFA"/>
    <w:rsid w:val="00405321"/>
    <w:rsid w:val="00405E53"/>
    <w:rsid w:val="00405F3A"/>
    <w:rsid w:val="004062E4"/>
    <w:rsid w:val="0040631E"/>
    <w:rsid w:val="00406D7A"/>
    <w:rsid w:val="0040769A"/>
    <w:rsid w:val="0041096C"/>
    <w:rsid w:val="00411B94"/>
    <w:rsid w:val="00412020"/>
    <w:rsid w:val="004123DF"/>
    <w:rsid w:val="004127E3"/>
    <w:rsid w:val="004137ED"/>
    <w:rsid w:val="00415E36"/>
    <w:rsid w:val="004160B1"/>
    <w:rsid w:val="004179DC"/>
    <w:rsid w:val="00417EE6"/>
    <w:rsid w:val="00420E54"/>
    <w:rsid w:val="00421AF5"/>
    <w:rsid w:val="00422BE7"/>
    <w:rsid w:val="00422DDB"/>
    <w:rsid w:val="00423531"/>
    <w:rsid w:val="00423CB6"/>
    <w:rsid w:val="00424739"/>
    <w:rsid w:val="004248CC"/>
    <w:rsid w:val="00424AA1"/>
    <w:rsid w:val="00424B82"/>
    <w:rsid w:val="00424D44"/>
    <w:rsid w:val="00425F40"/>
    <w:rsid w:val="004276FC"/>
    <w:rsid w:val="00427A17"/>
    <w:rsid w:val="00427ECC"/>
    <w:rsid w:val="00430BB5"/>
    <w:rsid w:val="00430BF1"/>
    <w:rsid w:val="0043116A"/>
    <w:rsid w:val="0043160E"/>
    <w:rsid w:val="00431758"/>
    <w:rsid w:val="00431AAC"/>
    <w:rsid w:val="00432C3B"/>
    <w:rsid w:val="00432D90"/>
    <w:rsid w:val="00433467"/>
    <w:rsid w:val="00433BB8"/>
    <w:rsid w:val="0043575D"/>
    <w:rsid w:val="00435C17"/>
    <w:rsid w:val="00435C2C"/>
    <w:rsid w:val="00435EA5"/>
    <w:rsid w:val="004360F5"/>
    <w:rsid w:val="0043668A"/>
    <w:rsid w:val="004367B3"/>
    <w:rsid w:val="00436CB4"/>
    <w:rsid w:val="004373D7"/>
    <w:rsid w:val="0043745C"/>
    <w:rsid w:val="00437B6F"/>
    <w:rsid w:val="00441053"/>
    <w:rsid w:val="00441718"/>
    <w:rsid w:val="00441975"/>
    <w:rsid w:val="00441B1B"/>
    <w:rsid w:val="0044211D"/>
    <w:rsid w:val="004429B1"/>
    <w:rsid w:val="00442F97"/>
    <w:rsid w:val="00443126"/>
    <w:rsid w:val="0044423F"/>
    <w:rsid w:val="00444F42"/>
    <w:rsid w:val="00445076"/>
    <w:rsid w:val="00445766"/>
    <w:rsid w:val="00445772"/>
    <w:rsid w:val="00446073"/>
    <w:rsid w:val="00446938"/>
    <w:rsid w:val="00446BD2"/>
    <w:rsid w:val="00446F43"/>
    <w:rsid w:val="0044750A"/>
    <w:rsid w:val="00447D99"/>
    <w:rsid w:val="00450047"/>
    <w:rsid w:val="0045053F"/>
    <w:rsid w:val="00452E6A"/>
    <w:rsid w:val="0045334F"/>
    <w:rsid w:val="00453665"/>
    <w:rsid w:val="00453DB9"/>
    <w:rsid w:val="004547D5"/>
    <w:rsid w:val="00454A2E"/>
    <w:rsid w:val="00455A45"/>
    <w:rsid w:val="0045651F"/>
    <w:rsid w:val="00456D35"/>
    <w:rsid w:val="00456E70"/>
    <w:rsid w:val="0045774E"/>
    <w:rsid w:val="00457B13"/>
    <w:rsid w:val="00460BDB"/>
    <w:rsid w:val="00460C0F"/>
    <w:rsid w:val="004612BA"/>
    <w:rsid w:val="004614C7"/>
    <w:rsid w:val="004617A9"/>
    <w:rsid w:val="00462470"/>
    <w:rsid w:val="004626A0"/>
    <w:rsid w:val="00462887"/>
    <w:rsid w:val="00462BEF"/>
    <w:rsid w:val="00462DB5"/>
    <w:rsid w:val="00463166"/>
    <w:rsid w:val="00463DAE"/>
    <w:rsid w:val="00464CA8"/>
    <w:rsid w:val="00466C89"/>
    <w:rsid w:val="0047098C"/>
    <w:rsid w:val="00470F32"/>
    <w:rsid w:val="00470F9E"/>
    <w:rsid w:val="0047122B"/>
    <w:rsid w:val="0047255E"/>
    <w:rsid w:val="00473270"/>
    <w:rsid w:val="00473B1D"/>
    <w:rsid w:val="004746A1"/>
    <w:rsid w:val="00475152"/>
    <w:rsid w:val="00476B50"/>
    <w:rsid w:val="00477711"/>
    <w:rsid w:val="0048093A"/>
    <w:rsid w:val="00480BAD"/>
    <w:rsid w:val="00480D70"/>
    <w:rsid w:val="00480FD4"/>
    <w:rsid w:val="00481396"/>
    <w:rsid w:val="0048243E"/>
    <w:rsid w:val="004837CA"/>
    <w:rsid w:val="00485044"/>
    <w:rsid w:val="00485741"/>
    <w:rsid w:val="00485B6E"/>
    <w:rsid w:val="0048620A"/>
    <w:rsid w:val="00486368"/>
    <w:rsid w:val="00486A5A"/>
    <w:rsid w:val="0048703E"/>
    <w:rsid w:val="0048710D"/>
    <w:rsid w:val="00487A27"/>
    <w:rsid w:val="00490232"/>
    <w:rsid w:val="004903C7"/>
    <w:rsid w:val="00490BB4"/>
    <w:rsid w:val="0049145E"/>
    <w:rsid w:val="004919F6"/>
    <w:rsid w:val="00491A9B"/>
    <w:rsid w:val="00491D02"/>
    <w:rsid w:val="004928E1"/>
    <w:rsid w:val="00492B8A"/>
    <w:rsid w:val="00493013"/>
    <w:rsid w:val="004930FB"/>
    <w:rsid w:val="004934CC"/>
    <w:rsid w:val="004937C9"/>
    <w:rsid w:val="0049380F"/>
    <w:rsid w:val="004938C3"/>
    <w:rsid w:val="004939F9"/>
    <w:rsid w:val="00493BCC"/>
    <w:rsid w:val="004943CE"/>
    <w:rsid w:val="0049611C"/>
    <w:rsid w:val="00497B6A"/>
    <w:rsid w:val="004A1906"/>
    <w:rsid w:val="004A2E97"/>
    <w:rsid w:val="004A3803"/>
    <w:rsid w:val="004A3B4F"/>
    <w:rsid w:val="004A3DD7"/>
    <w:rsid w:val="004A3FB2"/>
    <w:rsid w:val="004A4D5E"/>
    <w:rsid w:val="004A5935"/>
    <w:rsid w:val="004A5F03"/>
    <w:rsid w:val="004A61A7"/>
    <w:rsid w:val="004A79D5"/>
    <w:rsid w:val="004A7E71"/>
    <w:rsid w:val="004A7F16"/>
    <w:rsid w:val="004B01AE"/>
    <w:rsid w:val="004B01D1"/>
    <w:rsid w:val="004B03EB"/>
    <w:rsid w:val="004B0C20"/>
    <w:rsid w:val="004B1866"/>
    <w:rsid w:val="004B1DA8"/>
    <w:rsid w:val="004B2024"/>
    <w:rsid w:val="004B265F"/>
    <w:rsid w:val="004B3404"/>
    <w:rsid w:val="004B417B"/>
    <w:rsid w:val="004B4AD3"/>
    <w:rsid w:val="004B4E5F"/>
    <w:rsid w:val="004B61B1"/>
    <w:rsid w:val="004B61D4"/>
    <w:rsid w:val="004B6233"/>
    <w:rsid w:val="004B752B"/>
    <w:rsid w:val="004B7A21"/>
    <w:rsid w:val="004B7E0A"/>
    <w:rsid w:val="004C0547"/>
    <w:rsid w:val="004C0554"/>
    <w:rsid w:val="004C0BB0"/>
    <w:rsid w:val="004C1221"/>
    <w:rsid w:val="004C1A73"/>
    <w:rsid w:val="004C1AAB"/>
    <w:rsid w:val="004C1C7E"/>
    <w:rsid w:val="004C3632"/>
    <w:rsid w:val="004C37AE"/>
    <w:rsid w:val="004C37F7"/>
    <w:rsid w:val="004C4C20"/>
    <w:rsid w:val="004C5BBC"/>
    <w:rsid w:val="004C5FEA"/>
    <w:rsid w:val="004C6B38"/>
    <w:rsid w:val="004C7396"/>
    <w:rsid w:val="004D073B"/>
    <w:rsid w:val="004D0A51"/>
    <w:rsid w:val="004D0BD5"/>
    <w:rsid w:val="004D1369"/>
    <w:rsid w:val="004D19F6"/>
    <w:rsid w:val="004D1D79"/>
    <w:rsid w:val="004D1EB4"/>
    <w:rsid w:val="004D4FB8"/>
    <w:rsid w:val="004D550D"/>
    <w:rsid w:val="004D5946"/>
    <w:rsid w:val="004D59AA"/>
    <w:rsid w:val="004D6332"/>
    <w:rsid w:val="004D6E8E"/>
    <w:rsid w:val="004D7720"/>
    <w:rsid w:val="004D7A79"/>
    <w:rsid w:val="004E0AC8"/>
    <w:rsid w:val="004E0CD1"/>
    <w:rsid w:val="004E0DC8"/>
    <w:rsid w:val="004E13BA"/>
    <w:rsid w:val="004E183C"/>
    <w:rsid w:val="004E2980"/>
    <w:rsid w:val="004E2ABE"/>
    <w:rsid w:val="004E2F14"/>
    <w:rsid w:val="004E3036"/>
    <w:rsid w:val="004E3585"/>
    <w:rsid w:val="004E46DF"/>
    <w:rsid w:val="004E4CA4"/>
    <w:rsid w:val="004E52FE"/>
    <w:rsid w:val="004E54E3"/>
    <w:rsid w:val="004E5DC9"/>
    <w:rsid w:val="004E60D3"/>
    <w:rsid w:val="004E7462"/>
    <w:rsid w:val="004F002D"/>
    <w:rsid w:val="004F17DC"/>
    <w:rsid w:val="004F2AC3"/>
    <w:rsid w:val="004F30D3"/>
    <w:rsid w:val="004F3424"/>
    <w:rsid w:val="004F3D33"/>
    <w:rsid w:val="004F4E75"/>
    <w:rsid w:val="004F4EDD"/>
    <w:rsid w:val="004F5331"/>
    <w:rsid w:val="004F5CF0"/>
    <w:rsid w:val="004F621D"/>
    <w:rsid w:val="004F7D99"/>
    <w:rsid w:val="005007DD"/>
    <w:rsid w:val="00500A81"/>
    <w:rsid w:val="00501E9D"/>
    <w:rsid w:val="00503F76"/>
    <w:rsid w:val="00504984"/>
    <w:rsid w:val="00504CCB"/>
    <w:rsid w:val="00506DAE"/>
    <w:rsid w:val="00506F1D"/>
    <w:rsid w:val="00506FE9"/>
    <w:rsid w:val="005074BE"/>
    <w:rsid w:val="0051026A"/>
    <w:rsid w:val="00510295"/>
    <w:rsid w:val="00510905"/>
    <w:rsid w:val="005112AD"/>
    <w:rsid w:val="005115DF"/>
    <w:rsid w:val="00511A28"/>
    <w:rsid w:val="00511FA5"/>
    <w:rsid w:val="00512136"/>
    <w:rsid w:val="00513938"/>
    <w:rsid w:val="00513D88"/>
    <w:rsid w:val="00513F96"/>
    <w:rsid w:val="00515547"/>
    <w:rsid w:val="005163A7"/>
    <w:rsid w:val="00516ACE"/>
    <w:rsid w:val="00516CCB"/>
    <w:rsid w:val="00516D29"/>
    <w:rsid w:val="005170B4"/>
    <w:rsid w:val="00521699"/>
    <w:rsid w:val="00521B15"/>
    <w:rsid w:val="00521C78"/>
    <w:rsid w:val="005231C2"/>
    <w:rsid w:val="005245C6"/>
    <w:rsid w:val="00524625"/>
    <w:rsid w:val="005251B8"/>
    <w:rsid w:val="00526EF8"/>
    <w:rsid w:val="00527F1D"/>
    <w:rsid w:val="00530352"/>
    <w:rsid w:val="00530395"/>
    <w:rsid w:val="00531991"/>
    <w:rsid w:val="00535438"/>
    <w:rsid w:val="00535483"/>
    <w:rsid w:val="005370CF"/>
    <w:rsid w:val="005406DE"/>
    <w:rsid w:val="00540849"/>
    <w:rsid w:val="00540B5B"/>
    <w:rsid w:val="00540BF1"/>
    <w:rsid w:val="00540CE8"/>
    <w:rsid w:val="00542118"/>
    <w:rsid w:val="005427EF"/>
    <w:rsid w:val="005431E4"/>
    <w:rsid w:val="005432FE"/>
    <w:rsid w:val="00543FB2"/>
    <w:rsid w:val="0054492E"/>
    <w:rsid w:val="005449AB"/>
    <w:rsid w:val="00545C5A"/>
    <w:rsid w:val="00546337"/>
    <w:rsid w:val="00547C4D"/>
    <w:rsid w:val="00547D09"/>
    <w:rsid w:val="005501A0"/>
    <w:rsid w:val="0055043A"/>
    <w:rsid w:val="005507F1"/>
    <w:rsid w:val="00550FA4"/>
    <w:rsid w:val="00551C3A"/>
    <w:rsid w:val="00551FAE"/>
    <w:rsid w:val="005525E9"/>
    <w:rsid w:val="00552830"/>
    <w:rsid w:val="00552CC8"/>
    <w:rsid w:val="005530F6"/>
    <w:rsid w:val="00554E48"/>
    <w:rsid w:val="005558FE"/>
    <w:rsid w:val="00556D32"/>
    <w:rsid w:val="005609E4"/>
    <w:rsid w:val="00561BAC"/>
    <w:rsid w:val="0056245F"/>
    <w:rsid w:val="0056258D"/>
    <w:rsid w:val="005627FD"/>
    <w:rsid w:val="00563622"/>
    <w:rsid w:val="005637A7"/>
    <w:rsid w:val="00563CD3"/>
    <w:rsid w:val="00564B27"/>
    <w:rsid w:val="00565513"/>
    <w:rsid w:val="00565EF0"/>
    <w:rsid w:val="00566270"/>
    <w:rsid w:val="005663A9"/>
    <w:rsid w:val="00573766"/>
    <w:rsid w:val="005738C9"/>
    <w:rsid w:val="00574265"/>
    <w:rsid w:val="00574CF9"/>
    <w:rsid w:val="00575519"/>
    <w:rsid w:val="00575610"/>
    <w:rsid w:val="0057579B"/>
    <w:rsid w:val="0057582A"/>
    <w:rsid w:val="0057624F"/>
    <w:rsid w:val="00576565"/>
    <w:rsid w:val="00576B9E"/>
    <w:rsid w:val="0057701B"/>
    <w:rsid w:val="005770D1"/>
    <w:rsid w:val="00577197"/>
    <w:rsid w:val="00580006"/>
    <w:rsid w:val="00580914"/>
    <w:rsid w:val="00580B5A"/>
    <w:rsid w:val="00585A33"/>
    <w:rsid w:val="00585BF2"/>
    <w:rsid w:val="00586A37"/>
    <w:rsid w:val="0059074C"/>
    <w:rsid w:val="00591826"/>
    <w:rsid w:val="005937B7"/>
    <w:rsid w:val="00594464"/>
    <w:rsid w:val="00596323"/>
    <w:rsid w:val="005968E2"/>
    <w:rsid w:val="00596CDB"/>
    <w:rsid w:val="00596E23"/>
    <w:rsid w:val="005A09BE"/>
    <w:rsid w:val="005A18FD"/>
    <w:rsid w:val="005A364D"/>
    <w:rsid w:val="005A39C7"/>
    <w:rsid w:val="005A4164"/>
    <w:rsid w:val="005A5672"/>
    <w:rsid w:val="005A5B29"/>
    <w:rsid w:val="005A5C57"/>
    <w:rsid w:val="005A64A1"/>
    <w:rsid w:val="005A6A61"/>
    <w:rsid w:val="005A71C9"/>
    <w:rsid w:val="005A7737"/>
    <w:rsid w:val="005B05E9"/>
    <w:rsid w:val="005B24C7"/>
    <w:rsid w:val="005B24F7"/>
    <w:rsid w:val="005B2B9C"/>
    <w:rsid w:val="005B323F"/>
    <w:rsid w:val="005B3ABF"/>
    <w:rsid w:val="005B49C5"/>
    <w:rsid w:val="005B58B8"/>
    <w:rsid w:val="005B6E38"/>
    <w:rsid w:val="005B7061"/>
    <w:rsid w:val="005B743D"/>
    <w:rsid w:val="005B75A4"/>
    <w:rsid w:val="005B7A33"/>
    <w:rsid w:val="005C08C9"/>
    <w:rsid w:val="005C0B67"/>
    <w:rsid w:val="005C1437"/>
    <w:rsid w:val="005C1514"/>
    <w:rsid w:val="005C1616"/>
    <w:rsid w:val="005C18A1"/>
    <w:rsid w:val="005C1B3E"/>
    <w:rsid w:val="005C25B1"/>
    <w:rsid w:val="005C26CD"/>
    <w:rsid w:val="005C45E4"/>
    <w:rsid w:val="005C6C22"/>
    <w:rsid w:val="005C753E"/>
    <w:rsid w:val="005C7FE2"/>
    <w:rsid w:val="005D145D"/>
    <w:rsid w:val="005D1D9B"/>
    <w:rsid w:val="005D35CF"/>
    <w:rsid w:val="005D466A"/>
    <w:rsid w:val="005D4A97"/>
    <w:rsid w:val="005D4CAC"/>
    <w:rsid w:val="005D53F2"/>
    <w:rsid w:val="005D7615"/>
    <w:rsid w:val="005D7941"/>
    <w:rsid w:val="005D7A00"/>
    <w:rsid w:val="005E013A"/>
    <w:rsid w:val="005E1D8C"/>
    <w:rsid w:val="005E2D87"/>
    <w:rsid w:val="005E48F4"/>
    <w:rsid w:val="005E5D94"/>
    <w:rsid w:val="005E600B"/>
    <w:rsid w:val="005E619B"/>
    <w:rsid w:val="005E6369"/>
    <w:rsid w:val="005E6443"/>
    <w:rsid w:val="005E709C"/>
    <w:rsid w:val="005E77B5"/>
    <w:rsid w:val="005E7C05"/>
    <w:rsid w:val="005F1408"/>
    <w:rsid w:val="005F1725"/>
    <w:rsid w:val="005F2F82"/>
    <w:rsid w:val="005F3B8B"/>
    <w:rsid w:val="005F5490"/>
    <w:rsid w:val="005F5F2D"/>
    <w:rsid w:val="005F60AA"/>
    <w:rsid w:val="005F611C"/>
    <w:rsid w:val="005F67EC"/>
    <w:rsid w:val="005F7214"/>
    <w:rsid w:val="005F72A5"/>
    <w:rsid w:val="005F7E0F"/>
    <w:rsid w:val="005F7EF2"/>
    <w:rsid w:val="00600A8F"/>
    <w:rsid w:val="00601708"/>
    <w:rsid w:val="00602076"/>
    <w:rsid w:val="0060220E"/>
    <w:rsid w:val="00602F2B"/>
    <w:rsid w:val="00603229"/>
    <w:rsid w:val="006037EE"/>
    <w:rsid w:val="00603D88"/>
    <w:rsid w:val="00604A0D"/>
    <w:rsid w:val="00604DBD"/>
    <w:rsid w:val="0060515E"/>
    <w:rsid w:val="00605908"/>
    <w:rsid w:val="00605B1E"/>
    <w:rsid w:val="00605E0A"/>
    <w:rsid w:val="00607815"/>
    <w:rsid w:val="00610E69"/>
    <w:rsid w:val="006111E6"/>
    <w:rsid w:val="00611499"/>
    <w:rsid w:val="006115D4"/>
    <w:rsid w:val="00612648"/>
    <w:rsid w:val="00612D85"/>
    <w:rsid w:val="006134AB"/>
    <w:rsid w:val="00613875"/>
    <w:rsid w:val="0061388E"/>
    <w:rsid w:val="0061456B"/>
    <w:rsid w:val="0061537B"/>
    <w:rsid w:val="00615F9F"/>
    <w:rsid w:val="00616B07"/>
    <w:rsid w:val="0061707E"/>
    <w:rsid w:val="0061755B"/>
    <w:rsid w:val="006204A5"/>
    <w:rsid w:val="00620A91"/>
    <w:rsid w:val="00621FAC"/>
    <w:rsid w:val="006242F2"/>
    <w:rsid w:val="00624C75"/>
    <w:rsid w:val="0062779D"/>
    <w:rsid w:val="00631E53"/>
    <w:rsid w:val="00631F8D"/>
    <w:rsid w:val="00632CB1"/>
    <w:rsid w:val="00633205"/>
    <w:rsid w:val="006346C0"/>
    <w:rsid w:val="00634AFF"/>
    <w:rsid w:val="00634D08"/>
    <w:rsid w:val="00634F0A"/>
    <w:rsid w:val="0063512C"/>
    <w:rsid w:val="006355F3"/>
    <w:rsid w:val="006358BA"/>
    <w:rsid w:val="006363F3"/>
    <w:rsid w:val="0063674E"/>
    <w:rsid w:val="00636A9A"/>
    <w:rsid w:val="00636D73"/>
    <w:rsid w:val="006402F7"/>
    <w:rsid w:val="00640471"/>
    <w:rsid w:val="00640757"/>
    <w:rsid w:val="0064122A"/>
    <w:rsid w:val="0064150D"/>
    <w:rsid w:val="0064277C"/>
    <w:rsid w:val="006430B8"/>
    <w:rsid w:val="00644254"/>
    <w:rsid w:val="006442FB"/>
    <w:rsid w:val="00645090"/>
    <w:rsid w:val="0064566D"/>
    <w:rsid w:val="006463B6"/>
    <w:rsid w:val="00646945"/>
    <w:rsid w:val="00646DE3"/>
    <w:rsid w:val="006474C1"/>
    <w:rsid w:val="00647E0E"/>
    <w:rsid w:val="00651AA6"/>
    <w:rsid w:val="00651FD9"/>
    <w:rsid w:val="006535A6"/>
    <w:rsid w:val="006546F0"/>
    <w:rsid w:val="0065507A"/>
    <w:rsid w:val="00656E14"/>
    <w:rsid w:val="006576CE"/>
    <w:rsid w:val="0066036D"/>
    <w:rsid w:val="006615E8"/>
    <w:rsid w:val="0066323D"/>
    <w:rsid w:val="00663818"/>
    <w:rsid w:val="0066393D"/>
    <w:rsid w:val="00663DBD"/>
    <w:rsid w:val="00663E57"/>
    <w:rsid w:val="00663ED3"/>
    <w:rsid w:val="00664102"/>
    <w:rsid w:val="006641A7"/>
    <w:rsid w:val="006642D0"/>
    <w:rsid w:val="00664AA2"/>
    <w:rsid w:val="00666442"/>
    <w:rsid w:val="00666811"/>
    <w:rsid w:val="00667A3A"/>
    <w:rsid w:val="0067026E"/>
    <w:rsid w:val="00671626"/>
    <w:rsid w:val="00672327"/>
    <w:rsid w:val="00672C5A"/>
    <w:rsid w:val="0067372A"/>
    <w:rsid w:val="00675AD1"/>
    <w:rsid w:val="00675E05"/>
    <w:rsid w:val="006768C1"/>
    <w:rsid w:val="006768FD"/>
    <w:rsid w:val="006776DA"/>
    <w:rsid w:val="006806F5"/>
    <w:rsid w:val="0068095F"/>
    <w:rsid w:val="00680BD3"/>
    <w:rsid w:val="00682CD6"/>
    <w:rsid w:val="00682D52"/>
    <w:rsid w:val="00682F4E"/>
    <w:rsid w:val="006835D1"/>
    <w:rsid w:val="00683881"/>
    <w:rsid w:val="0068576D"/>
    <w:rsid w:val="00685AC4"/>
    <w:rsid w:val="006865D6"/>
    <w:rsid w:val="00686E6C"/>
    <w:rsid w:val="00686F32"/>
    <w:rsid w:val="00687C90"/>
    <w:rsid w:val="00687D1F"/>
    <w:rsid w:val="0069060D"/>
    <w:rsid w:val="0069372E"/>
    <w:rsid w:val="006944CC"/>
    <w:rsid w:val="006959C9"/>
    <w:rsid w:val="006959F6"/>
    <w:rsid w:val="00695A1A"/>
    <w:rsid w:val="00695BB7"/>
    <w:rsid w:val="00696DA8"/>
    <w:rsid w:val="00697340"/>
    <w:rsid w:val="00697B1F"/>
    <w:rsid w:val="006A0107"/>
    <w:rsid w:val="006A0188"/>
    <w:rsid w:val="006A08B0"/>
    <w:rsid w:val="006A0C62"/>
    <w:rsid w:val="006A1354"/>
    <w:rsid w:val="006A13C4"/>
    <w:rsid w:val="006A4046"/>
    <w:rsid w:val="006A4D76"/>
    <w:rsid w:val="006A4DA8"/>
    <w:rsid w:val="006A5CD0"/>
    <w:rsid w:val="006A65A0"/>
    <w:rsid w:val="006B00FA"/>
    <w:rsid w:val="006B0715"/>
    <w:rsid w:val="006B1243"/>
    <w:rsid w:val="006B19E0"/>
    <w:rsid w:val="006B1CBA"/>
    <w:rsid w:val="006B44D2"/>
    <w:rsid w:val="006B55D4"/>
    <w:rsid w:val="006B5959"/>
    <w:rsid w:val="006B691B"/>
    <w:rsid w:val="006B7348"/>
    <w:rsid w:val="006B7447"/>
    <w:rsid w:val="006C043B"/>
    <w:rsid w:val="006C0584"/>
    <w:rsid w:val="006C07F3"/>
    <w:rsid w:val="006C0DFF"/>
    <w:rsid w:val="006C1D85"/>
    <w:rsid w:val="006C434E"/>
    <w:rsid w:val="006C4ED3"/>
    <w:rsid w:val="006C5CD7"/>
    <w:rsid w:val="006C651F"/>
    <w:rsid w:val="006C6E5A"/>
    <w:rsid w:val="006C70B0"/>
    <w:rsid w:val="006C7ADE"/>
    <w:rsid w:val="006D072D"/>
    <w:rsid w:val="006D083D"/>
    <w:rsid w:val="006D0D36"/>
    <w:rsid w:val="006D120C"/>
    <w:rsid w:val="006D19AA"/>
    <w:rsid w:val="006D1B0C"/>
    <w:rsid w:val="006D26F7"/>
    <w:rsid w:val="006D29DE"/>
    <w:rsid w:val="006D2D9E"/>
    <w:rsid w:val="006D2F77"/>
    <w:rsid w:val="006D2FE8"/>
    <w:rsid w:val="006D354E"/>
    <w:rsid w:val="006D47B2"/>
    <w:rsid w:val="006D4C4E"/>
    <w:rsid w:val="006D5F63"/>
    <w:rsid w:val="006D64CD"/>
    <w:rsid w:val="006D6C45"/>
    <w:rsid w:val="006D796F"/>
    <w:rsid w:val="006E052B"/>
    <w:rsid w:val="006E08E6"/>
    <w:rsid w:val="006E27CA"/>
    <w:rsid w:val="006E2DFA"/>
    <w:rsid w:val="006E2F34"/>
    <w:rsid w:val="006E3239"/>
    <w:rsid w:val="006E32B3"/>
    <w:rsid w:val="006E587A"/>
    <w:rsid w:val="006E5F55"/>
    <w:rsid w:val="006E6649"/>
    <w:rsid w:val="006E6665"/>
    <w:rsid w:val="006E7458"/>
    <w:rsid w:val="006E7B77"/>
    <w:rsid w:val="006E7E0C"/>
    <w:rsid w:val="006F071F"/>
    <w:rsid w:val="006F074F"/>
    <w:rsid w:val="006F1541"/>
    <w:rsid w:val="006F1D3C"/>
    <w:rsid w:val="006F2271"/>
    <w:rsid w:val="006F3822"/>
    <w:rsid w:val="006F5481"/>
    <w:rsid w:val="006F6253"/>
    <w:rsid w:val="006F6BF1"/>
    <w:rsid w:val="006F6CF5"/>
    <w:rsid w:val="006F6DB1"/>
    <w:rsid w:val="006F72B1"/>
    <w:rsid w:val="006F76B5"/>
    <w:rsid w:val="007010B9"/>
    <w:rsid w:val="00701AAB"/>
    <w:rsid w:val="00703294"/>
    <w:rsid w:val="0070341B"/>
    <w:rsid w:val="00704777"/>
    <w:rsid w:val="00704E85"/>
    <w:rsid w:val="00705209"/>
    <w:rsid w:val="007055D5"/>
    <w:rsid w:val="00705B5A"/>
    <w:rsid w:val="00706528"/>
    <w:rsid w:val="0070691F"/>
    <w:rsid w:val="0071008E"/>
    <w:rsid w:val="00710579"/>
    <w:rsid w:val="00710838"/>
    <w:rsid w:val="00710C3A"/>
    <w:rsid w:val="00710E2E"/>
    <w:rsid w:val="007115C5"/>
    <w:rsid w:val="00711BCF"/>
    <w:rsid w:val="007120C7"/>
    <w:rsid w:val="00712481"/>
    <w:rsid w:val="00712B10"/>
    <w:rsid w:val="00713F4C"/>
    <w:rsid w:val="00714134"/>
    <w:rsid w:val="0071600F"/>
    <w:rsid w:val="00716CFF"/>
    <w:rsid w:val="00716EB3"/>
    <w:rsid w:val="007171AE"/>
    <w:rsid w:val="00717201"/>
    <w:rsid w:val="007211BD"/>
    <w:rsid w:val="00721626"/>
    <w:rsid w:val="00721FAC"/>
    <w:rsid w:val="00722B1B"/>
    <w:rsid w:val="00723123"/>
    <w:rsid w:val="007238D7"/>
    <w:rsid w:val="00723F51"/>
    <w:rsid w:val="00723F61"/>
    <w:rsid w:val="007242EB"/>
    <w:rsid w:val="0072483F"/>
    <w:rsid w:val="0072512F"/>
    <w:rsid w:val="0072700C"/>
    <w:rsid w:val="007311D1"/>
    <w:rsid w:val="0073121B"/>
    <w:rsid w:val="00731CDE"/>
    <w:rsid w:val="00731F7F"/>
    <w:rsid w:val="0073231D"/>
    <w:rsid w:val="00733800"/>
    <w:rsid w:val="00733B32"/>
    <w:rsid w:val="00733FB7"/>
    <w:rsid w:val="00734362"/>
    <w:rsid w:val="00734ABA"/>
    <w:rsid w:val="00735820"/>
    <w:rsid w:val="007365C4"/>
    <w:rsid w:val="00736A99"/>
    <w:rsid w:val="007370A3"/>
    <w:rsid w:val="00737D1A"/>
    <w:rsid w:val="00740787"/>
    <w:rsid w:val="00741489"/>
    <w:rsid w:val="0074209C"/>
    <w:rsid w:val="00742214"/>
    <w:rsid w:val="00742691"/>
    <w:rsid w:val="00742BDB"/>
    <w:rsid w:val="00742D3E"/>
    <w:rsid w:val="007431AC"/>
    <w:rsid w:val="00744261"/>
    <w:rsid w:val="00745469"/>
    <w:rsid w:val="007459A6"/>
    <w:rsid w:val="007466F6"/>
    <w:rsid w:val="00746741"/>
    <w:rsid w:val="00746745"/>
    <w:rsid w:val="00746885"/>
    <w:rsid w:val="007469F8"/>
    <w:rsid w:val="00746A30"/>
    <w:rsid w:val="007501DF"/>
    <w:rsid w:val="0075112E"/>
    <w:rsid w:val="00752399"/>
    <w:rsid w:val="00752E99"/>
    <w:rsid w:val="0075321C"/>
    <w:rsid w:val="0075397E"/>
    <w:rsid w:val="0075526B"/>
    <w:rsid w:val="00755D6C"/>
    <w:rsid w:val="00756022"/>
    <w:rsid w:val="007564A0"/>
    <w:rsid w:val="00756B49"/>
    <w:rsid w:val="0075749C"/>
    <w:rsid w:val="007600FD"/>
    <w:rsid w:val="00760A60"/>
    <w:rsid w:val="00761059"/>
    <w:rsid w:val="00761BD8"/>
    <w:rsid w:val="00761F9D"/>
    <w:rsid w:val="00761FD0"/>
    <w:rsid w:val="00762942"/>
    <w:rsid w:val="00762F12"/>
    <w:rsid w:val="00763635"/>
    <w:rsid w:val="007639AB"/>
    <w:rsid w:val="007649A8"/>
    <w:rsid w:val="00764E5D"/>
    <w:rsid w:val="00764F1D"/>
    <w:rsid w:val="00765409"/>
    <w:rsid w:val="00765E38"/>
    <w:rsid w:val="00766737"/>
    <w:rsid w:val="00766B54"/>
    <w:rsid w:val="00767364"/>
    <w:rsid w:val="00767B8F"/>
    <w:rsid w:val="00771846"/>
    <w:rsid w:val="007724D0"/>
    <w:rsid w:val="00772C45"/>
    <w:rsid w:val="00772C62"/>
    <w:rsid w:val="00772DF8"/>
    <w:rsid w:val="00772FB2"/>
    <w:rsid w:val="00773450"/>
    <w:rsid w:val="00773C23"/>
    <w:rsid w:val="007754BB"/>
    <w:rsid w:val="00775C36"/>
    <w:rsid w:val="00775CFA"/>
    <w:rsid w:val="00775F5B"/>
    <w:rsid w:val="00776324"/>
    <w:rsid w:val="0077700C"/>
    <w:rsid w:val="00777192"/>
    <w:rsid w:val="0077721B"/>
    <w:rsid w:val="0078053C"/>
    <w:rsid w:val="007816B7"/>
    <w:rsid w:val="00781B9B"/>
    <w:rsid w:val="00781FCE"/>
    <w:rsid w:val="007829D0"/>
    <w:rsid w:val="00783B38"/>
    <w:rsid w:val="00783C75"/>
    <w:rsid w:val="007845B0"/>
    <w:rsid w:val="007852EE"/>
    <w:rsid w:val="00785739"/>
    <w:rsid w:val="0078700C"/>
    <w:rsid w:val="00787351"/>
    <w:rsid w:val="007874BE"/>
    <w:rsid w:val="007879BE"/>
    <w:rsid w:val="00787E42"/>
    <w:rsid w:val="007905BF"/>
    <w:rsid w:val="00790EF2"/>
    <w:rsid w:val="00791E67"/>
    <w:rsid w:val="00792ED5"/>
    <w:rsid w:val="00793C14"/>
    <w:rsid w:val="00795704"/>
    <w:rsid w:val="007964D6"/>
    <w:rsid w:val="00796BEA"/>
    <w:rsid w:val="0079763A"/>
    <w:rsid w:val="00797991"/>
    <w:rsid w:val="00797E2E"/>
    <w:rsid w:val="007A05EA"/>
    <w:rsid w:val="007A0728"/>
    <w:rsid w:val="007A0991"/>
    <w:rsid w:val="007A13CD"/>
    <w:rsid w:val="007A2CF9"/>
    <w:rsid w:val="007A322A"/>
    <w:rsid w:val="007A4D40"/>
    <w:rsid w:val="007A55CE"/>
    <w:rsid w:val="007A6622"/>
    <w:rsid w:val="007A77CC"/>
    <w:rsid w:val="007A7B36"/>
    <w:rsid w:val="007B0614"/>
    <w:rsid w:val="007B0D71"/>
    <w:rsid w:val="007B1296"/>
    <w:rsid w:val="007B36C4"/>
    <w:rsid w:val="007B450D"/>
    <w:rsid w:val="007B4537"/>
    <w:rsid w:val="007B455E"/>
    <w:rsid w:val="007B49E2"/>
    <w:rsid w:val="007B4A21"/>
    <w:rsid w:val="007B553C"/>
    <w:rsid w:val="007B5779"/>
    <w:rsid w:val="007B5C40"/>
    <w:rsid w:val="007B5CA2"/>
    <w:rsid w:val="007B6511"/>
    <w:rsid w:val="007B706F"/>
    <w:rsid w:val="007B752E"/>
    <w:rsid w:val="007C14BB"/>
    <w:rsid w:val="007C1517"/>
    <w:rsid w:val="007C2250"/>
    <w:rsid w:val="007C2912"/>
    <w:rsid w:val="007C2A25"/>
    <w:rsid w:val="007C50FB"/>
    <w:rsid w:val="007C6139"/>
    <w:rsid w:val="007C7403"/>
    <w:rsid w:val="007C7696"/>
    <w:rsid w:val="007C7B9E"/>
    <w:rsid w:val="007C7D1B"/>
    <w:rsid w:val="007C7F26"/>
    <w:rsid w:val="007D0C62"/>
    <w:rsid w:val="007D0FDB"/>
    <w:rsid w:val="007D14D0"/>
    <w:rsid w:val="007D322D"/>
    <w:rsid w:val="007D37AF"/>
    <w:rsid w:val="007D3829"/>
    <w:rsid w:val="007D52D8"/>
    <w:rsid w:val="007D594E"/>
    <w:rsid w:val="007D5CCA"/>
    <w:rsid w:val="007D6324"/>
    <w:rsid w:val="007D792F"/>
    <w:rsid w:val="007D7AA2"/>
    <w:rsid w:val="007E0D74"/>
    <w:rsid w:val="007E2432"/>
    <w:rsid w:val="007E3065"/>
    <w:rsid w:val="007E3FE8"/>
    <w:rsid w:val="007E497D"/>
    <w:rsid w:val="007E49D2"/>
    <w:rsid w:val="007E59A6"/>
    <w:rsid w:val="007E5EAA"/>
    <w:rsid w:val="007E6602"/>
    <w:rsid w:val="007F05DB"/>
    <w:rsid w:val="007F0ECB"/>
    <w:rsid w:val="007F16D7"/>
    <w:rsid w:val="007F219C"/>
    <w:rsid w:val="007F2855"/>
    <w:rsid w:val="007F30F8"/>
    <w:rsid w:val="007F40A9"/>
    <w:rsid w:val="007F51DB"/>
    <w:rsid w:val="007F6AFB"/>
    <w:rsid w:val="007F6E99"/>
    <w:rsid w:val="007F6EC6"/>
    <w:rsid w:val="007F753D"/>
    <w:rsid w:val="007F7B51"/>
    <w:rsid w:val="00800053"/>
    <w:rsid w:val="00800525"/>
    <w:rsid w:val="008005F4"/>
    <w:rsid w:val="00800E69"/>
    <w:rsid w:val="00800F69"/>
    <w:rsid w:val="008018D8"/>
    <w:rsid w:val="008023B8"/>
    <w:rsid w:val="00802465"/>
    <w:rsid w:val="00802E02"/>
    <w:rsid w:val="008036F3"/>
    <w:rsid w:val="008040AD"/>
    <w:rsid w:val="008045FE"/>
    <w:rsid w:val="008046AE"/>
    <w:rsid w:val="008048E5"/>
    <w:rsid w:val="0080625B"/>
    <w:rsid w:val="00807CFD"/>
    <w:rsid w:val="00810350"/>
    <w:rsid w:val="008107E0"/>
    <w:rsid w:val="00810CE4"/>
    <w:rsid w:val="00811229"/>
    <w:rsid w:val="00811A66"/>
    <w:rsid w:val="00812064"/>
    <w:rsid w:val="008139FB"/>
    <w:rsid w:val="00814261"/>
    <w:rsid w:val="00814C2B"/>
    <w:rsid w:val="00814EE8"/>
    <w:rsid w:val="008151C1"/>
    <w:rsid w:val="008167DD"/>
    <w:rsid w:val="00816862"/>
    <w:rsid w:val="0081699E"/>
    <w:rsid w:val="0081705C"/>
    <w:rsid w:val="008174BF"/>
    <w:rsid w:val="00820120"/>
    <w:rsid w:val="00820A6B"/>
    <w:rsid w:val="00821324"/>
    <w:rsid w:val="008214C6"/>
    <w:rsid w:val="008216FE"/>
    <w:rsid w:val="00821E1C"/>
    <w:rsid w:val="00821ED9"/>
    <w:rsid w:val="0082236B"/>
    <w:rsid w:val="00823167"/>
    <w:rsid w:val="00823990"/>
    <w:rsid w:val="008242FC"/>
    <w:rsid w:val="008249C9"/>
    <w:rsid w:val="00825B70"/>
    <w:rsid w:val="008273D7"/>
    <w:rsid w:val="00827E0E"/>
    <w:rsid w:val="008300D4"/>
    <w:rsid w:val="0083024D"/>
    <w:rsid w:val="00830536"/>
    <w:rsid w:val="00830A95"/>
    <w:rsid w:val="00831AA5"/>
    <w:rsid w:val="00831C5B"/>
    <w:rsid w:val="00831D2D"/>
    <w:rsid w:val="00832071"/>
    <w:rsid w:val="008324ED"/>
    <w:rsid w:val="00832E39"/>
    <w:rsid w:val="00833F3B"/>
    <w:rsid w:val="008357ED"/>
    <w:rsid w:val="00835BCE"/>
    <w:rsid w:val="00836DCF"/>
    <w:rsid w:val="00837344"/>
    <w:rsid w:val="00837752"/>
    <w:rsid w:val="00840463"/>
    <w:rsid w:val="008405B7"/>
    <w:rsid w:val="008413C4"/>
    <w:rsid w:val="00841520"/>
    <w:rsid w:val="00842890"/>
    <w:rsid w:val="00842F17"/>
    <w:rsid w:val="00844A54"/>
    <w:rsid w:val="008457D2"/>
    <w:rsid w:val="0084602B"/>
    <w:rsid w:val="008470D1"/>
    <w:rsid w:val="00847CBC"/>
    <w:rsid w:val="0085032B"/>
    <w:rsid w:val="00851543"/>
    <w:rsid w:val="00851F8E"/>
    <w:rsid w:val="008525AF"/>
    <w:rsid w:val="00852FF5"/>
    <w:rsid w:val="008536A5"/>
    <w:rsid w:val="00853BE8"/>
    <w:rsid w:val="00853D2A"/>
    <w:rsid w:val="008547D9"/>
    <w:rsid w:val="008560BC"/>
    <w:rsid w:val="008563F4"/>
    <w:rsid w:val="0085680B"/>
    <w:rsid w:val="00860C37"/>
    <w:rsid w:val="008615D7"/>
    <w:rsid w:val="008619EE"/>
    <w:rsid w:val="00861E05"/>
    <w:rsid w:val="00862766"/>
    <w:rsid w:val="00862A28"/>
    <w:rsid w:val="00862CFF"/>
    <w:rsid w:val="00863C08"/>
    <w:rsid w:val="00863F98"/>
    <w:rsid w:val="00864731"/>
    <w:rsid w:val="00864E55"/>
    <w:rsid w:val="008658C9"/>
    <w:rsid w:val="00866128"/>
    <w:rsid w:val="00866E10"/>
    <w:rsid w:val="008678BA"/>
    <w:rsid w:val="008678BF"/>
    <w:rsid w:val="00867C40"/>
    <w:rsid w:val="00870F6C"/>
    <w:rsid w:val="0087123E"/>
    <w:rsid w:val="00871BA1"/>
    <w:rsid w:val="008732CF"/>
    <w:rsid w:val="0087369B"/>
    <w:rsid w:val="008736E2"/>
    <w:rsid w:val="00873D51"/>
    <w:rsid w:val="00874DFF"/>
    <w:rsid w:val="00875194"/>
    <w:rsid w:val="00875A31"/>
    <w:rsid w:val="00875C32"/>
    <w:rsid w:val="00876C74"/>
    <w:rsid w:val="00876EDF"/>
    <w:rsid w:val="0088027A"/>
    <w:rsid w:val="00880397"/>
    <w:rsid w:val="0088042B"/>
    <w:rsid w:val="008809F4"/>
    <w:rsid w:val="00880BAA"/>
    <w:rsid w:val="00880F88"/>
    <w:rsid w:val="00881188"/>
    <w:rsid w:val="00882667"/>
    <w:rsid w:val="008826B4"/>
    <w:rsid w:val="008829FF"/>
    <w:rsid w:val="00883A8B"/>
    <w:rsid w:val="008840C4"/>
    <w:rsid w:val="008848AA"/>
    <w:rsid w:val="00884E7A"/>
    <w:rsid w:val="00884FA5"/>
    <w:rsid w:val="00885C91"/>
    <w:rsid w:val="00885FD1"/>
    <w:rsid w:val="008865E9"/>
    <w:rsid w:val="008866F3"/>
    <w:rsid w:val="00886826"/>
    <w:rsid w:val="00886967"/>
    <w:rsid w:val="00886E0D"/>
    <w:rsid w:val="0088750A"/>
    <w:rsid w:val="00890367"/>
    <w:rsid w:val="0089158E"/>
    <w:rsid w:val="00891B9B"/>
    <w:rsid w:val="00892E59"/>
    <w:rsid w:val="00893613"/>
    <w:rsid w:val="00893E34"/>
    <w:rsid w:val="00894007"/>
    <w:rsid w:val="00894045"/>
    <w:rsid w:val="00894A55"/>
    <w:rsid w:val="00894F6F"/>
    <w:rsid w:val="00894FE5"/>
    <w:rsid w:val="008952A6"/>
    <w:rsid w:val="0089622F"/>
    <w:rsid w:val="00896B65"/>
    <w:rsid w:val="00897441"/>
    <w:rsid w:val="008A2A9B"/>
    <w:rsid w:val="008A3766"/>
    <w:rsid w:val="008A3CF3"/>
    <w:rsid w:val="008A3FF6"/>
    <w:rsid w:val="008A494B"/>
    <w:rsid w:val="008A49E1"/>
    <w:rsid w:val="008A4C41"/>
    <w:rsid w:val="008A6596"/>
    <w:rsid w:val="008A6AE2"/>
    <w:rsid w:val="008A6DF9"/>
    <w:rsid w:val="008A6EA9"/>
    <w:rsid w:val="008A715D"/>
    <w:rsid w:val="008A7936"/>
    <w:rsid w:val="008A7F2E"/>
    <w:rsid w:val="008B05B1"/>
    <w:rsid w:val="008B1537"/>
    <w:rsid w:val="008B28FD"/>
    <w:rsid w:val="008B3991"/>
    <w:rsid w:val="008B3E82"/>
    <w:rsid w:val="008B4DF4"/>
    <w:rsid w:val="008B5CBE"/>
    <w:rsid w:val="008B6EAC"/>
    <w:rsid w:val="008B74E9"/>
    <w:rsid w:val="008C24D4"/>
    <w:rsid w:val="008C2593"/>
    <w:rsid w:val="008C28B8"/>
    <w:rsid w:val="008C2A17"/>
    <w:rsid w:val="008C3AA4"/>
    <w:rsid w:val="008C3AC7"/>
    <w:rsid w:val="008C3E9C"/>
    <w:rsid w:val="008C5870"/>
    <w:rsid w:val="008C5EBE"/>
    <w:rsid w:val="008C62EF"/>
    <w:rsid w:val="008C6690"/>
    <w:rsid w:val="008C718E"/>
    <w:rsid w:val="008C732C"/>
    <w:rsid w:val="008C7756"/>
    <w:rsid w:val="008C7B60"/>
    <w:rsid w:val="008C7EB7"/>
    <w:rsid w:val="008D0164"/>
    <w:rsid w:val="008D0E71"/>
    <w:rsid w:val="008D1A24"/>
    <w:rsid w:val="008D2B56"/>
    <w:rsid w:val="008D3297"/>
    <w:rsid w:val="008D447E"/>
    <w:rsid w:val="008D46D1"/>
    <w:rsid w:val="008D5FC2"/>
    <w:rsid w:val="008D6018"/>
    <w:rsid w:val="008D6030"/>
    <w:rsid w:val="008D61ED"/>
    <w:rsid w:val="008D6208"/>
    <w:rsid w:val="008D69F9"/>
    <w:rsid w:val="008D725B"/>
    <w:rsid w:val="008D77EC"/>
    <w:rsid w:val="008D7A30"/>
    <w:rsid w:val="008D7CAC"/>
    <w:rsid w:val="008D7EDB"/>
    <w:rsid w:val="008E1FB9"/>
    <w:rsid w:val="008E27A6"/>
    <w:rsid w:val="008E38FE"/>
    <w:rsid w:val="008E394D"/>
    <w:rsid w:val="008E3ED7"/>
    <w:rsid w:val="008E5126"/>
    <w:rsid w:val="008E60D4"/>
    <w:rsid w:val="008F100F"/>
    <w:rsid w:val="008F131B"/>
    <w:rsid w:val="008F231A"/>
    <w:rsid w:val="008F2CEE"/>
    <w:rsid w:val="008F35B1"/>
    <w:rsid w:val="008F3697"/>
    <w:rsid w:val="008F3795"/>
    <w:rsid w:val="008F3C36"/>
    <w:rsid w:val="008F3DDA"/>
    <w:rsid w:val="008F4917"/>
    <w:rsid w:val="008F5E55"/>
    <w:rsid w:val="008F66C7"/>
    <w:rsid w:val="008F7740"/>
    <w:rsid w:val="009006E6"/>
    <w:rsid w:val="00900BBB"/>
    <w:rsid w:val="009011FF"/>
    <w:rsid w:val="009019B7"/>
    <w:rsid w:val="00901AE1"/>
    <w:rsid w:val="00902739"/>
    <w:rsid w:val="00903D33"/>
    <w:rsid w:val="0090420C"/>
    <w:rsid w:val="0090429D"/>
    <w:rsid w:val="00904A5A"/>
    <w:rsid w:val="00905294"/>
    <w:rsid w:val="009052BA"/>
    <w:rsid w:val="009052D1"/>
    <w:rsid w:val="009073EF"/>
    <w:rsid w:val="00910EEF"/>
    <w:rsid w:val="00911A79"/>
    <w:rsid w:val="00912FC4"/>
    <w:rsid w:val="00913D6E"/>
    <w:rsid w:val="0091469F"/>
    <w:rsid w:val="00915C2C"/>
    <w:rsid w:val="00916333"/>
    <w:rsid w:val="00917DBF"/>
    <w:rsid w:val="00921EA9"/>
    <w:rsid w:val="00921F41"/>
    <w:rsid w:val="0092206B"/>
    <w:rsid w:val="00924D09"/>
    <w:rsid w:val="00927B70"/>
    <w:rsid w:val="00930ADC"/>
    <w:rsid w:val="00930F9B"/>
    <w:rsid w:val="009334FF"/>
    <w:rsid w:val="00934851"/>
    <w:rsid w:val="00935626"/>
    <w:rsid w:val="00935F33"/>
    <w:rsid w:val="0093652D"/>
    <w:rsid w:val="00936960"/>
    <w:rsid w:val="00936F80"/>
    <w:rsid w:val="00937046"/>
    <w:rsid w:val="00937201"/>
    <w:rsid w:val="00941E52"/>
    <w:rsid w:val="00942B4E"/>
    <w:rsid w:val="00944815"/>
    <w:rsid w:val="0094482C"/>
    <w:rsid w:val="009454CF"/>
    <w:rsid w:val="00945F02"/>
    <w:rsid w:val="009500D0"/>
    <w:rsid w:val="0095084F"/>
    <w:rsid w:val="00950CCF"/>
    <w:rsid w:val="009510DB"/>
    <w:rsid w:val="00951AE7"/>
    <w:rsid w:val="00952203"/>
    <w:rsid w:val="0095234D"/>
    <w:rsid w:val="0095341D"/>
    <w:rsid w:val="009556F9"/>
    <w:rsid w:val="00957335"/>
    <w:rsid w:val="009573CA"/>
    <w:rsid w:val="00957A47"/>
    <w:rsid w:val="00957F05"/>
    <w:rsid w:val="00960091"/>
    <w:rsid w:val="00960568"/>
    <w:rsid w:val="0096081D"/>
    <w:rsid w:val="00960A2C"/>
    <w:rsid w:val="0096109A"/>
    <w:rsid w:val="009612F1"/>
    <w:rsid w:val="0096180D"/>
    <w:rsid w:val="0096211D"/>
    <w:rsid w:val="00963242"/>
    <w:rsid w:val="009665F7"/>
    <w:rsid w:val="0096762D"/>
    <w:rsid w:val="00967688"/>
    <w:rsid w:val="0096789F"/>
    <w:rsid w:val="00971203"/>
    <w:rsid w:val="00971F0B"/>
    <w:rsid w:val="009726AA"/>
    <w:rsid w:val="00972980"/>
    <w:rsid w:val="00972B55"/>
    <w:rsid w:val="0097352C"/>
    <w:rsid w:val="009737C7"/>
    <w:rsid w:val="00975AAE"/>
    <w:rsid w:val="00975DB6"/>
    <w:rsid w:val="009761A3"/>
    <w:rsid w:val="00976C3E"/>
    <w:rsid w:val="009771B5"/>
    <w:rsid w:val="00977986"/>
    <w:rsid w:val="009801F6"/>
    <w:rsid w:val="00980AD8"/>
    <w:rsid w:val="009813F5"/>
    <w:rsid w:val="00982050"/>
    <w:rsid w:val="0098264C"/>
    <w:rsid w:val="00982B34"/>
    <w:rsid w:val="00983C60"/>
    <w:rsid w:val="00983FBA"/>
    <w:rsid w:val="00984089"/>
    <w:rsid w:val="00986874"/>
    <w:rsid w:val="00986E69"/>
    <w:rsid w:val="00990577"/>
    <w:rsid w:val="0099058E"/>
    <w:rsid w:val="009908CA"/>
    <w:rsid w:val="00993078"/>
    <w:rsid w:val="009931F8"/>
    <w:rsid w:val="009933A3"/>
    <w:rsid w:val="00993613"/>
    <w:rsid w:val="00993A8B"/>
    <w:rsid w:val="00994639"/>
    <w:rsid w:val="00994778"/>
    <w:rsid w:val="00994C6E"/>
    <w:rsid w:val="00994CCB"/>
    <w:rsid w:val="00995545"/>
    <w:rsid w:val="00995665"/>
    <w:rsid w:val="00996AD2"/>
    <w:rsid w:val="00996C2E"/>
    <w:rsid w:val="00996E7C"/>
    <w:rsid w:val="009970F1"/>
    <w:rsid w:val="00997662"/>
    <w:rsid w:val="0099777E"/>
    <w:rsid w:val="009A0016"/>
    <w:rsid w:val="009A010C"/>
    <w:rsid w:val="009A0178"/>
    <w:rsid w:val="009A0390"/>
    <w:rsid w:val="009A1264"/>
    <w:rsid w:val="009A1923"/>
    <w:rsid w:val="009A1FD7"/>
    <w:rsid w:val="009A4A66"/>
    <w:rsid w:val="009A52A7"/>
    <w:rsid w:val="009A6915"/>
    <w:rsid w:val="009A7DF6"/>
    <w:rsid w:val="009B1E41"/>
    <w:rsid w:val="009B23D3"/>
    <w:rsid w:val="009B251C"/>
    <w:rsid w:val="009B3920"/>
    <w:rsid w:val="009B3CD7"/>
    <w:rsid w:val="009B41FF"/>
    <w:rsid w:val="009B46AF"/>
    <w:rsid w:val="009B5350"/>
    <w:rsid w:val="009B590E"/>
    <w:rsid w:val="009B6767"/>
    <w:rsid w:val="009B7378"/>
    <w:rsid w:val="009C0A76"/>
    <w:rsid w:val="009C0BE4"/>
    <w:rsid w:val="009C1277"/>
    <w:rsid w:val="009C24E3"/>
    <w:rsid w:val="009C26CA"/>
    <w:rsid w:val="009C2769"/>
    <w:rsid w:val="009C2C96"/>
    <w:rsid w:val="009C34E6"/>
    <w:rsid w:val="009C3F1E"/>
    <w:rsid w:val="009C3FF1"/>
    <w:rsid w:val="009C4378"/>
    <w:rsid w:val="009C55CE"/>
    <w:rsid w:val="009C5F87"/>
    <w:rsid w:val="009C6E7B"/>
    <w:rsid w:val="009C72E2"/>
    <w:rsid w:val="009C73C7"/>
    <w:rsid w:val="009C7455"/>
    <w:rsid w:val="009D0758"/>
    <w:rsid w:val="009D11C5"/>
    <w:rsid w:val="009D2ADB"/>
    <w:rsid w:val="009D2EA8"/>
    <w:rsid w:val="009D33B2"/>
    <w:rsid w:val="009D4D8E"/>
    <w:rsid w:val="009E00F8"/>
    <w:rsid w:val="009E143C"/>
    <w:rsid w:val="009E2048"/>
    <w:rsid w:val="009E21A2"/>
    <w:rsid w:val="009E2378"/>
    <w:rsid w:val="009E2DBC"/>
    <w:rsid w:val="009E3435"/>
    <w:rsid w:val="009E3F90"/>
    <w:rsid w:val="009E419A"/>
    <w:rsid w:val="009E4A41"/>
    <w:rsid w:val="009E54D4"/>
    <w:rsid w:val="009E5646"/>
    <w:rsid w:val="009E5D30"/>
    <w:rsid w:val="009E6933"/>
    <w:rsid w:val="009E74CE"/>
    <w:rsid w:val="009E795F"/>
    <w:rsid w:val="009F00C9"/>
    <w:rsid w:val="009F19C6"/>
    <w:rsid w:val="009F21F5"/>
    <w:rsid w:val="009F25CE"/>
    <w:rsid w:val="009F3901"/>
    <w:rsid w:val="009F3A8A"/>
    <w:rsid w:val="009F3C21"/>
    <w:rsid w:val="009F3C7F"/>
    <w:rsid w:val="009F40BD"/>
    <w:rsid w:val="009F51AD"/>
    <w:rsid w:val="009F5D1D"/>
    <w:rsid w:val="009F6BB2"/>
    <w:rsid w:val="009F7BDA"/>
    <w:rsid w:val="009F7DD8"/>
    <w:rsid w:val="00A00D34"/>
    <w:rsid w:val="00A0155F"/>
    <w:rsid w:val="00A02E90"/>
    <w:rsid w:val="00A043B0"/>
    <w:rsid w:val="00A04AAA"/>
    <w:rsid w:val="00A0508F"/>
    <w:rsid w:val="00A05589"/>
    <w:rsid w:val="00A055D9"/>
    <w:rsid w:val="00A05B1D"/>
    <w:rsid w:val="00A06170"/>
    <w:rsid w:val="00A06436"/>
    <w:rsid w:val="00A06930"/>
    <w:rsid w:val="00A06AAB"/>
    <w:rsid w:val="00A06E8E"/>
    <w:rsid w:val="00A07341"/>
    <w:rsid w:val="00A07593"/>
    <w:rsid w:val="00A07D8B"/>
    <w:rsid w:val="00A07E0A"/>
    <w:rsid w:val="00A07F52"/>
    <w:rsid w:val="00A10293"/>
    <w:rsid w:val="00A11ABF"/>
    <w:rsid w:val="00A11C48"/>
    <w:rsid w:val="00A11D84"/>
    <w:rsid w:val="00A12732"/>
    <w:rsid w:val="00A12FAB"/>
    <w:rsid w:val="00A13713"/>
    <w:rsid w:val="00A137CD"/>
    <w:rsid w:val="00A1392C"/>
    <w:rsid w:val="00A140AA"/>
    <w:rsid w:val="00A141D4"/>
    <w:rsid w:val="00A14398"/>
    <w:rsid w:val="00A15A7D"/>
    <w:rsid w:val="00A16237"/>
    <w:rsid w:val="00A16B33"/>
    <w:rsid w:val="00A172E7"/>
    <w:rsid w:val="00A20252"/>
    <w:rsid w:val="00A20560"/>
    <w:rsid w:val="00A21028"/>
    <w:rsid w:val="00A211BB"/>
    <w:rsid w:val="00A2189A"/>
    <w:rsid w:val="00A22006"/>
    <w:rsid w:val="00A236F2"/>
    <w:rsid w:val="00A23B4E"/>
    <w:rsid w:val="00A249E3"/>
    <w:rsid w:val="00A25107"/>
    <w:rsid w:val="00A2523C"/>
    <w:rsid w:val="00A25F87"/>
    <w:rsid w:val="00A2614D"/>
    <w:rsid w:val="00A26A59"/>
    <w:rsid w:val="00A277DE"/>
    <w:rsid w:val="00A27DAA"/>
    <w:rsid w:val="00A27E03"/>
    <w:rsid w:val="00A30AD4"/>
    <w:rsid w:val="00A30DE2"/>
    <w:rsid w:val="00A32A1B"/>
    <w:rsid w:val="00A335D7"/>
    <w:rsid w:val="00A33AD0"/>
    <w:rsid w:val="00A33B77"/>
    <w:rsid w:val="00A340E9"/>
    <w:rsid w:val="00A34A36"/>
    <w:rsid w:val="00A354F5"/>
    <w:rsid w:val="00A3662C"/>
    <w:rsid w:val="00A36EED"/>
    <w:rsid w:val="00A3781F"/>
    <w:rsid w:val="00A40AE4"/>
    <w:rsid w:val="00A40D8F"/>
    <w:rsid w:val="00A412CB"/>
    <w:rsid w:val="00A415C2"/>
    <w:rsid w:val="00A4189F"/>
    <w:rsid w:val="00A41D07"/>
    <w:rsid w:val="00A434C7"/>
    <w:rsid w:val="00A43D2A"/>
    <w:rsid w:val="00A4412B"/>
    <w:rsid w:val="00A44828"/>
    <w:rsid w:val="00A458FF"/>
    <w:rsid w:val="00A45D29"/>
    <w:rsid w:val="00A5043E"/>
    <w:rsid w:val="00A508EA"/>
    <w:rsid w:val="00A516AC"/>
    <w:rsid w:val="00A522DE"/>
    <w:rsid w:val="00A5390D"/>
    <w:rsid w:val="00A53ABD"/>
    <w:rsid w:val="00A544EE"/>
    <w:rsid w:val="00A54AE1"/>
    <w:rsid w:val="00A54C33"/>
    <w:rsid w:val="00A56181"/>
    <w:rsid w:val="00A564E7"/>
    <w:rsid w:val="00A56851"/>
    <w:rsid w:val="00A571EE"/>
    <w:rsid w:val="00A57DFC"/>
    <w:rsid w:val="00A60304"/>
    <w:rsid w:val="00A61FAE"/>
    <w:rsid w:val="00A62752"/>
    <w:rsid w:val="00A629E8"/>
    <w:rsid w:val="00A62F65"/>
    <w:rsid w:val="00A645BE"/>
    <w:rsid w:val="00A65737"/>
    <w:rsid w:val="00A66537"/>
    <w:rsid w:val="00A66CBD"/>
    <w:rsid w:val="00A66DAE"/>
    <w:rsid w:val="00A702C6"/>
    <w:rsid w:val="00A70481"/>
    <w:rsid w:val="00A70DB9"/>
    <w:rsid w:val="00A719B1"/>
    <w:rsid w:val="00A7239B"/>
    <w:rsid w:val="00A7247C"/>
    <w:rsid w:val="00A73586"/>
    <w:rsid w:val="00A738AA"/>
    <w:rsid w:val="00A73CF5"/>
    <w:rsid w:val="00A73DD2"/>
    <w:rsid w:val="00A7470A"/>
    <w:rsid w:val="00A74AB8"/>
    <w:rsid w:val="00A75459"/>
    <w:rsid w:val="00A755F8"/>
    <w:rsid w:val="00A757D7"/>
    <w:rsid w:val="00A76F94"/>
    <w:rsid w:val="00A772FE"/>
    <w:rsid w:val="00A77774"/>
    <w:rsid w:val="00A777BC"/>
    <w:rsid w:val="00A77DD0"/>
    <w:rsid w:val="00A80015"/>
    <w:rsid w:val="00A80263"/>
    <w:rsid w:val="00A80268"/>
    <w:rsid w:val="00A80C0D"/>
    <w:rsid w:val="00A80F26"/>
    <w:rsid w:val="00A8111A"/>
    <w:rsid w:val="00A817F0"/>
    <w:rsid w:val="00A848A0"/>
    <w:rsid w:val="00A848FD"/>
    <w:rsid w:val="00A84B60"/>
    <w:rsid w:val="00A84D65"/>
    <w:rsid w:val="00A86D2D"/>
    <w:rsid w:val="00A86E89"/>
    <w:rsid w:val="00A86EAE"/>
    <w:rsid w:val="00A871AD"/>
    <w:rsid w:val="00A87A18"/>
    <w:rsid w:val="00A87FD6"/>
    <w:rsid w:val="00A90003"/>
    <w:rsid w:val="00A901AA"/>
    <w:rsid w:val="00A906F5"/>
    <w:rsid w:val="00A918C4"/>
    <w:rsid w:val="00A919F4"/>
    <w:rsid w:val="00A928CF"/>
    <w:rsid w:val="00A92C09"/>
    <w:rsid w:val="00A92E2E"/>
    <w:rsid w:val="00A93AA1"/>
    <w:rsid w:val="00A94ED5"/>
    <w:rsid w:val="00A95789"/>
    <w:rsid w:val="00A95A01"/>
    <w:rsid w:val="00A96864"/>
    <w:rsid w:val="00A9771A"/>
    <w:rsid w:val="00AA11FD"/>
    <w:rsid w:val="00AA1C49"/>
    <w:rsid w:val="00AA3F68"/>
    <w:rsid w:val="00AA45E4"/>
    <w:rsid w:val="00AB0672"/>
    <w:rsid w:val="00AB0751"/>
    <w:rsid w:val="00AB0785"/>
    <w:rsid w:val="00AB11E3"/>
    <w:rsid w:val="00AB19A1"/>
    <w:rsid w:val="00AB2422"/>
    <w:rsid w:val="00AB3440"/>
    <w:rsid w:val="00AB3B2C"/>
    <w:rsid w:val="00AB3BC9"/>
    <w:rsid w:val="00AB3C8C"/>
    <w:rsid w:val="00AB3E19"/>
    <w:rsid w:val="00AB5533"/>
    <w:rsid w:val="00AB5808"/>
    <w:rsid w:val="00AB5A66"/>
    <w:rsid w:val="00AB5FD9"/>
    <w:rsid w:val="00AB6B6F"/>
    <w:rsid w:val="00AB6CC7"/>
    <w:rsid w:val="00AB7358"/>
    <w:rsid w:val="00AC1046"/>
    <w:rsid w:val="00AC1465"/>
    <w:rsid w:val="00AC14C2"/>
    <w:rsid w:val="00AC23A5"/>
    <w:rsid w:val="00AC2686"/>
    <w:rsid w:val="00AC34B1"/>
    <w:rsid w:val="00AC3F69"/>
    <w:rsid w:val="00AC4693"/>
    <w:rsid w:val="00AC4B05"/>
    <w:rsid w:val="00AC4F58"/>
    <w:rsid w:val="00AC60B2"/>
    <w:rsid w:val="00AC681B"/>
    <w:rsid w:val="00AC73DB"/>
    <w:rsid w:val="00AC7E10"/>
    <w:rsid w:val="00AC7F52"/>
    <w:rsid w:val="00AC7FE0"/>
    <w:rsid w:val="00AD0342"/>
    <w:rsid w:val="00AD0561"/>
    <w:rsid w:val="00AD418D"/>
    <w:rsid w:val="00AD48EB"/>
    <w:rsid w:val="00AD4CC3"/>
    <w:rsid w:val="00AD51F8"/>
    <w:rsid w:val="00AD5634"/>
    <w:rsid w:val="00AD5930"/>
    <w:rsid w:val="00AD5B83"/>
    <w:rsid w:val="00AD6065"/>
    <w:rsid w:val="00AD6246"/>
    <w:rsid w:val="00AD6570"/>
    <w:rsid w:val="00AD663F"/>
    <w:rsid w:val="00AD67D7"/>
    <w:rsid w:val="00AD6915"/>
    <w:rsid w:val="00AD6A42"/>
    <w:rsid w:val="00AE1448"/>
    <w:rsid w:val="00AE1DDF"/>
    <w:rsid w:val="00AE1EB1"/>
    <w:rsid w:val="00AE266D"/>
    <w:rsid w:val="00AE3A87"/>
    <w:rsid w:val="00AE42F0"/>
    <w:rsid w:val="00AE5339"/>
    <w:rsid w:val="00AE5FBC"/>
    <w:rsid w:val="00AE6DFC"/>
    <w:rsid w:val="00AE7169"/>
    <w:rsid w:val="00AE7B32"/>
    <w:rsid w:val="00AF1459"/>
    <w:rsid w:val="00AF158A"/>
    <w:rsid w:val="00AF1790"/>
    <w:rsid w:val="00AF227B"/>
    <w:rsid w:val="00AF3075"/>
    <w:rsid w:val="00AF395D"/>
    <w:rsid w:val="00AF398D"/>
    <w:rsid w:val="00AF4301"/>
    <w:rsid w:val="00AF4B35"/>
    <w:rsid w:val="00AF521A"/>
    <w:rsid w:val="00AF6E0A"/>
    <w:rsid w:val="00AF7B84"/>
    <w:rsid w:val="00B0061B"/>
    <w:rsid w:val="00B00D67"/>
    <w:rsid w:val="00B01172"/>
    <w:rsid w:val="00B013DC"/>
    <w:rsid w:val="00B051B2"/>
    <w:rsid w:val="00B0642B"/>
    <w:rsid w:val="00B1090A"/>
    <w:rsid w:val="00B10F08"/>
    <w:rsid w:val="00B1179F"/>
    <w:rsid w:val="00B11BA9"/>
    <w:rsid w:val="00B1296E"/>
    <w:rsid w:val="00B14996"/>
    <w:rsid w:val="00B14AF4"/>
    <w:rsid w:val="00B14BD9"/>
    <w:rsid w:val="00B14C5A"/>
    <w:rsid w:val="00B15E64"/>
    <w:rsid w:val="00B17739"/>
    <w:rsid w:val="00B17C93"/>
    <w:rsid w:val="00B20505"/>
    <w:rsid w:val="00B20834"/>
    <w:rsid w:val="00B20890"/>
    <w:rsid w:val="00B218DD"/>
    <w:rsid w:val="00B21EE5"/>
    <w:rsid w:val="00B251EC"/>
    <w:rsid w:val="00B255E5"/>
    <w:rsid w:val="00B2576A"/>
    <w:rsid w:val="00B257BE"/>
    <w:rsid w:val="00B25DDF"/>
    <w:rsid w:val="00B25E69"/>
    <w:rsid w:val="00B2604C"/>
    <w:rsid w:val="00B26619"/>
    <w:rsid w:val="00B26E29"/>
    <w:rsid w:val="00B30A97"/>
    <w:rsid w:val="00B30AAB"/>
    <w:rsid w:val="00B30E6D"/>
    <w:rsid w:val="00B30F4D"/>
    <w:rsid w:val="00B32196"/>
    <w:rsid w:val="00B32CFD"/>
    <w:rsid w:val="00B32F38"/>
    <w:rsid w:val="00B330D7"/>
    <w:rsid w:val="00B33264"/>
    <w:rsid w:val="00B33781"/>
    <w:rsid w:val="00B3479B"/>
    <w:rsid w:val="00B3549E"/>
    <w:rsid w:val="00B35B04"/>
    <w:rsid w:val="00B3641D"/>
    <w:rsid w:val="00B371FB"/>
    <w:rsid w:val="00B374E8"/>
    <w:rsid w:val="00B4081B"/>
    <w:rsid w:val="00B40B7A"/>
    <w:rsid w:val="00B417F1"/>
    <w:rsid w:val="00B424C5"/>
    <w:rsid w:val="00B42B41"/>
    <w:rsid w:val="00B436EC"/>
    <w:rsid w:val="00B43F18"/>
    <w:rsid w:val="00B44DFF"/>
    <w:rsid w:val="00B45272"/>
    <w:rsid w:val="00B45B1D"/>
    <w:rsid w:val="00B463C8"/>
    <w:rsid w:val="00B4663B"/>
    <w:rsid w:val="00B46900"/>
    <w:rsid w:val="00B46B01"/>
    <w:rsid w:val="00B46D13"/>
    <w:rsid w:val="00B47953"/>
    <w:rsid w:val="00B47BF4"/>
    <w:rsid w:val="00B51671"/>
    <w:rsid w:val="00B52AE6"/>
    <w:rsid w:val="00B52BA7"/>
    <w:rsid w:val="00B53418"/>
    <w:rsid w:val="00B53ADC"/>
    <w:rsid w:val="00B55FA0"/>
    <w:rsid w:val="00B562AE"/>
    <w:rsid w:val="00B57838"/>
    <w:rsid w:val="00B57BC7"/>
    <w:rsid w:val="00B602FA"/>
    <w:rsid w:val="00B60727"/>
    <w:rsid w:val="00B60DFF"/>
    <w:rsid w:val="00B613F5"/>
    <w:rsid w:val="00B61A22"/>
    <w:rsid w:val="00B62994"/>
    <w:rsid w:val="00B62E01"/>
    <w:rsid w:val="00B6305B"/>
    <w:rsid w:val="00B6353F"/>
    <w:rsid w:val="00B636A4"/>
    <w:rsid w:val="00B63BD8"/>
    <w:rsid w:val="00B642FC"/>
    <w:rsid w:val="00B64A53"/>
    <w:rsid w:val="00B64B11"/>
    <w:rsid w:val="00B64EDE"/>
    <w:rsid w:val="00B652BB"/>
    <w:rsid w:val="00B664E2"/>
    <w:rsid w:val="00B66F7E"/>
    <w:rsid w:val="00B70CF1"/>
    <w:rsid w:val="00B7158D"/>
    <w:rsid w:val="00B72725"/>
    <w:rsid w:val="00B7326F"/>
    <w:rsid w:val="00B74CEE"/>
    <w:rsid w:val="00B74E7C"/>
    <w:rsid w:val="00B765D9"/>
    <w:rsid w:val="00B76ABE"/>
    <w:rsid w:val="00B8070C"/>
    <w:rsid w:val="00B81439"/>
    <w:rsid w:val="00B818D8"/>
    <w:rsid w:val="00B82109"/>
    <w:rsid w:val="00B82E91"/>
    <w:rsid w:val="00B85428"/>
    <w:rsid w:val="00B8603F"/>
    <w:rsid w:val="00B8640B"/>
    <w:rsid w:val="00B86B18"/>
    <w:rsid w:val="00B8761C"/>
    <w:rsid w:val="00B87C74"/>
    <w:rsid w:val="00B9031B"/>
    <w:rsid w:val="00B90809"/>
    <w:rsid w:val="00B91F65"/>
    <w:rsid w:val="00B92475"/>
    <w:rsid w:val="00B92892"/>
    <w:rsid w:val="00B94DE5"/>
    <w:rsid w:val="00B9639A"/>
    <w:rsid w:val="00B96408"/>
    <w:rsid w:val="00B96C16"/>
    <w:rsid w:val="00B96F17"/>
    <w:rsid w:val="00B97560"/>
    <w:rsid w:val="00B97EEA"/>
    <w:rsid w:val="00BA01AB"/>
    <w:rsid w:val="00BA0B4F"/>
    <w:rsid w:val="00BA1931"/>
    <w:rsid w:val="00BA2810"/>
    <w:rsid w:val="00BA2CCE"/>
    <w:rsid w:val="00BA37FD"/>
    <w:rsid w:val="00BA3BE7"/>
    <w:rsid w:val="00BA3BFF"/>
    <w:rsid w:val="00BA5594"/>
    <w:rsid w:val="00BA58F7"/>
    <w:rsid w:val="00BA5C8C"/>
    <w:rsid w:val="00BA64A1"/>
    <w:rsid w:val="00BA6C23"/>
    <w:rsid w:val="00BB03E5"/>
    <w:rsid w:val="00BB19F2"/>
    <w:rsid w:val="00BB2183"/>
    <w:rsid w:val="00BB24E3"/>
    <w:rsid w:val="00BB50BF"/>
    <w:rsid w:val="00BB52F5"/>
    <w:rsid w:val="00BB7887"/>
    <w:rsid w:val="00BB7C4E"/>
    <w:rsid w:val="00BC16BB"/>
    <w:rsid w:val="00BC1827"/>
    <w:rsid w:val="00BC185A"/>
    <w:rsid w:val="00BC19D7"/>
    <w:rsid w:val="00BC2006"/>
    <w:rsid w:val="00BC221C"/>
    <w:rsid w:val="00BC30AA"/>
    <w:rsid w:val="00BC3C53"/>
    <w:rsid w:val="00BC5042"/>
    <w:rsid w:val="00BC5998"/>
    <w:rsid w:val="00BD01B5"/>
    <w:rsid w:val="00BD0209"/>
    <w:rsid w:val="00BD0A4F"/>
    <w:rsid w:val="00BD1162"/>
    <w:rsid w:val="00BD309D"/>
    <w:rsid w:val="00BD3BD5"/>
    <w:rsid w:val="00BD3EAF"/>
    <w:rsid w:val="00BD3FCE"/>
    <w:rsid w:val="00BD48C2"/>
    <w:rsid w:val="00BD544B"/>
    <w:rsid w:val="00BD5AE4"/>
    <w:rsid w:val="00BD5B52"/>
    <w:rsid w:val="00BD5F80"/>
    <w:rsid w:val="00BD6B0C"/>
    <w:rsid w:val="00BD7C1B"/>
    <w:rsid w:val="00BE02E7"/>
    <w:rsid w:val="00BE0CA1"/>
    <w:rsid w:val="00BE1057"/>
    <w:rsid w:val="00BE4136"/>
    <w:rsid w:val="00BE46A9"/>
    <w:rsid w:val="00BE52B4"/>
    <w:rsid w:val="00BE5470"/>
    <w:rsid w:val="00BE5934"/>
    <w:rsid w:val="00BE64BC"/>
    <w:rsid w:val="00BF0418"/>
    <w:rsid w:val="00BF09D2"/>
    <w:rsid w:val="00BF0EC1"/>
    <w:rsid w:val="00BF29F8"/>
    <w:rsid w:val="00BF3366"/>
    <w:rsid w:val="00BF34F6"/>
    <w:rsid w:val="00BF48FC"/>
    <w:rsid w:val="00BF53BE"/>
    <w:rsid w:val="00BF5951"/>
    <w:rsid w:val="00BF6CD9"/>
    <w:rsid w:val="00BF6F60"/>
    <w:rsid w:val="00BF770F"/>
    <w:rsid w:val="00BF7E6C"/>
    <w:rsid w:val="00C01AEB"/>
    <w:rsid w:val="00C01F69"/>
    <w:rsid w:val="00C0241B"/>
    <w:rsid w:val="00C0261B"/>
    <w:rsid w:val="00C026A2"/>
    <w:rsid w:val="00C02B2F"/>
    <w:rsid w:val="00C02D43"/>
    <w:rsid w:val="00C03087"/>
    <w:rsid w:val="00C031C9"/>
    <w:rsid w:val="00C03F89"/>
    <w:rsid w:val="00C042F9"/>
    <w:rsid w:val="00C04F9B"/>
    <w:rsid w:val="00C06240"/>
    <w:rsid w:val="00C06615"/>
    <w:rsid w:val="00C105A3"/>
    <w:rsid w:val="00C1068F"/>
    <w:rsid w:val="00C116C6"/>
    <w:rsid w:val="00C1258A"/>
    <w:rsid w:val="00C12CF7"/>
    <w:rsid w:val="00C12FD4"/>
    <w:rsid w:val="00C13EFC"/>
    <w:rsid w:val="00C1434C"/>
    <w:rsid w:val="00C1439B"/>
    <w:rsid w:val="00C14471"/>
    <w:rsid w:val="00C14591"/>
    <w:rsid w:val="00C14FD0"/>
    <w:rsid w:val="00C151F5"/>
    <w:rsid w:val="00C15724"/>
    <w:rsid w:val="00C15E98"/>
    <w:rsid w:val="00C1629D"/>
    <w:rsid w:val="00C167A3"/>
    <w:rsid w:val="00C20066"/>
    <w:rsid w:val="00C202A7"/>
    <w:rsid w:val="00C2091B"/>
    <w:rsid w:val="00C219F0"/>
    <w:rsid w:val="00C22EE1"/>
    <w:rsid w:val="00C240A1"/>
    <w:rsid w:val="00C25AA2"/>
    <w:rsid w:val="00C25C75"/>
    <w:rsid w:val="00C25D1D"/>
    <w:rsid w:val="00C2632E"/>
    <w:rsid w:val="00C30BA9"/>
    <w:rsid w:val="00C31451"/>
    <w:rsid w:val="00C31649"/>
    <w:rsid w:val="00C3241B"/>
    <w:rsid w:val="00C3244B"/>
    <w:rsid w:val="00C3260B"/>
    <w:rsid w:val="00C329A5"/>
    <w:rsid w:val="00C345E0"/>
    <w:rsid w:val="00C34F87"/>
    <w:rsid w:val="00C3530B"/>
    <w:rsid w:val="00C35984"/>
    <w:rsid w:val="00C3639B"/>
    <w:rsid w:val="00C40756"/>
    <w:rsid w:val="00C40893"/>
    <w:rsid w:val="00C40E6C"/>
    <w:rsid w:val="00C41A27"/>
    <w:rsid w:val="00C42982"/>
    <w:rsid w:val="00C43ACA"/>
    <w:rsid w:val="00C44B2F"/>
    <w:rsid w:val="00C46777"/>
    <w:rsid w:val="00C46B01"/>
    <w:rsid w:val="00C46EA3"/>
    <w:rsid w:val="00C471A6"/>
    <w:rsid w:val="00C4771B"/>
    <w:rsid w:val="00C47ADC"/>
    <w:rsid w:val="00C5031F"/>
    <w:rsid w:val="00C50476"/>
    <w:rsid w:val="00C5085D"/>
    <w:rsid w:val="00C514A9"/>
    <w:rsid w:val="00C51D14"/>
    <w:rsid w:val="00C523A2"/>
    <w:rsid w:val="00C52704"/>
    <w:rsid w:val="00C52F3A"/>
    <w:rsid w:val="00C53567"/>
    <w:rsid w:val="00C547B4"/>
    <w:rsid w:val="00C55D8B"/>
    <w:rsid w:val="00C56C80"/>
    <w:rsid w:val="00C572B9"/>
    <w:rsid w:val="00C6050D"/>
    <w:rsid w:val="00C61669"/>
    <w:rsid w:val="00C625F2"/>
    <w:rsid w:val="00C6286B"/>
    <w:rsid w:val="00C62FFD"/>
    <w:rsid w:val="00C64783"/>
    <w:rsid w:val="00C64A54"/>
    <w:rsid w:val="00C64DDD"/>
    <w:rsid w:val="00C65951"/>
    <w:rsid w:val="00C67147"/>
    <w:rsid w:val="00C67654"/>
    <w:rsid w:val="00C67735"/>
    <w:rsid w:val="00C709CB"/>
    <w:rsid w:val="00C70D67"/>
    <w:rsid w:val="00C71827"/>
    <w:rsid w:val="00C7191F"/>
    <w:rsid w:val="00C71E9E"/>
    <w:rsid w:val="00C71F4A"/>
    <w:rsid w:val="00C72B9B"/>
    <w:rsid w:val="00C742DF"/>
    <w:rsid w:val="00C74D57"/>
    <w:rsid w:val="00C75225"/>
    <w:rsid w:val="00C7544E"/>
    <w:rsid w:val="00C7556F"/>
    <w:rsid w:val="00C75721"/>
    <w:rsid w:val="00C76101"/>
    <w:rsid w:val="00C7619C"/>
    <w:rsid w:val="00C76372"/>
    <w:rsid w:val="00C764FB"/>
    <w:rsid w:val="00C76B0B"/>
    <w:rsid w:val="00C77B90"/>
    <w:rsid w:val="00C81F70"/>
    <w:rsid w:val="00C82248"/>
    <w:rsid w:val="00C82803"/>
    <w:rsid w:val="00C85580"/>
    <w:rsid w:val="00C85B08"/>
    <w:rsid w:val="00C8674F"/>
    <w:rsid w:val="00C906F2"/>
    <w:rsid w:val="00C90E99"/>
    <w:rsid w:val="00C91698"/>
    <w:rsid w:val="00C9188E"/>
    <w:rsid w:val="00C91DDE"/>
    <w:rsid w:val="00C92508"/>
    <w:rsid w:val="00C93129"/>
    <w:rsid w:val="00C946DD"/>
    <w:rsid w:val="00C95D91"/>
    <w:rsid w:val="00C967FD"/>
    <w:rsid w:val="00CA1190"/>
    <w:rsid w:val="00CA1604"/>
    <w:rsid w:val="00CA4419"/>
    <w:rsid w:val="00CA4612"/>
    <w:rsid w:val="00CA5A7C"/>
    <w:rsid w:val="00CA63C8"/>
    <w:rsid w:val="00CA6D0E"/>
    <w:rsid w:val="00CA7E73"/>
    <w:rsid w:val="00CB1053"/>
    <w:rsid w:val="00CB117B"/>
    <w:rsid w:val="00CB1579"/>
    <w:rsid w:val="00CB171B"/>
    <w:rsid w:val="00CB1C27"/>
    <w:rsid w:val="00CB2D3F"/>
    <w:rsid w:val="00CB3029"/>
    <w:rsid w:val="00CB4EE2"/>
    <w:rsid w:val="00CB5209"/>
    <w:rsid w:val="00CB62A4"/>
    <w:rsid w:val="00CB65FC"/>
    <w:rsid w:val="00CB6609"/>
    <w:rsid w:val="00CB7755"/>
    <w:rsid w:val="00CC2D73"/>
    <w:rsid w:val="00CC3297"/>
    <w:rsid w:val="00CC37D3"/>
    <w:rsid w:val="00CC4FE5"/>
    <w:rsid w:val="00CC5537"/>
    <w:rsid w:val="00CC5EA5"/>
    <w:rsid w:val="00CC605D"/>
    <w:rsid w:val="00CC6523"/>
    <w:rsid w:val="00CC6D32"/>
    <w:rsid w:val="00CD14E3"/>
    <w:rsid w:val="00CD16FE"/>
    <w:rsid w:val="00CD23E0"/>
    <w:rsid w:val="00CD2D86"/>
    <w:rsid w:val="00CD346F"/>
    <w:rsid w:val="00CD3BAD"/>
    <w:rsid w:val="00CD3D71"/>
    <w:rsid w:val="00CD48AC"/>
    <w:rsid w:val="00CD512B"/>
    <w:rsid w:val="00CD59B3"/>
    <w:rsid w:val="00CD6821"/>
    <w:rsid w:val="00CD6C8A"/>
    <w:rsid w:val="00CD7816"/>
    <w:rsid w:val="00CE03D6"/>
    <w:rsid w:val="00CE1147"/>
    <w:rsid w:val="00CE2159"/>
    <w:rsid w:val="00CE2C47"/>
    <w:rsid w:val="00CE33B8"/>
    <w:rsid w:val="00CE35FD"/>
    <w:rsid w:val="00CE370D"/>
    <w:rsid w:val="00CE380A"/>
    <w:rsid w:val="00CE4041"/>
    <w:rsid w:val="00CE4E96"/>
    <w:rsid w:val="00CE5307"/>
    <w:rsid w:val="00CE54D2"/>
    <w:rsid w:val="00CE5BF6"/>
    <w:rsid w:val="00CE6A90"/>
    <w:rsid w:val="00CE6C5F"/>
    <w:rsid w:val="00CF00B1"/>
    <w:rsid w:val="00CF0221"/>
    <w:rsid w:val="00CF1131"/>
    <w:rsid w:val="00CF177F"/>
    <w:rsid w:val="00CF2133"/>
    <w:rsid w:val="00CF28A6"/>
    <w:rsid w:val="00CF28EC"/>
    <w:rsid w:val="00CF2DC7"/>
    <w:rsid w:val="00CF3020"/>
    <w:rsid w:val="00CF3576"/>
    <w:rsid w:val="00CF3A30"/>
    <w:rsid w:val="00CF4032"/>
    <w:rsid w:val="00CF41B1"/>
    <w:rsid w:val="00CF44D9"/>
    <w:rsid w:val="00CF4567"/>
    <w:rsid w:val="00CF531A"/>
    <w:rsid w:val="00CF5F68"/>
    <w:rsid w:val="00CF6024"/>
    <w:rsid w:val="00CF62BF"/>
    <w:rsid w:val="00CF63B8"/>
    <w:rsid w:val="00CF7256"/>
    <w:rsid w:val="00CF7328"/>
    <w:rsid w:val="00CF74CF"/>
    <w:rsid w:val="00CF7DB2"/>
    <w:rsid w:val="00D001B8"/>
    <w:rsid w:val="00D01547"/>
    <w:rsid w:val="00D0234F"/>
    <w:rsid w:val="00D02DF1"/>
    <w:rsid w:val="00D039E5"/>
    <w:rsid w:val="00D0477E"/>
    <w:rsid w:val="00D04AAE"/>
    <w:rsid w:val="00D04D41"/>
    <w:rsid w:val="00D05222"/>
    <w:rsid w:val="00D06078"/>
    <w:rsid w:val="00D0611F"/>
    <w:rsid w:val="00D07D81"/>
    <w:rsid w:val="00D100A7"/>
    <w:rsid w:val="00D112A8"/>
    <w:rsid w:val="00D11454"/>
    <w:rsid w:val="00D11735"/>
    <w:rsid w:val="00D127D2"/>
    <w:rsid w:val="00D12BAF"/>
    <w:rsid w:val="00D12D79"/>
    <w:rsid w:val="00D131CE"/>
    <w:rsid w:val="00D1333E"/>
    <w:rsid w:val="00D148E3"/>
    <w:rsid w:val="00D15A92"/>
    <w:rsid w:val="00D15F59"/>
    <w:rsid w:val="00D1653B"/>
    <w:rsid w:val="00D1688C"/>
    <w:rsid w:val="00D17852"/>
    <w:rsid w:val="00D17D64"/>
    <w:rsid w:val="00D17E37"/>
    <w:rsid w:val="00D20275"/>
    <w:rsid w:val="00D20611"/>
    <w:rsid w:val="00D20CFD"/>
    <w:rsid w:val="00D2103C"/>
    <w:rsid w:val="00D21328"/>
    <w:rsid w:val="00D22C82"/>
    <w:rsid w:val="00D2322B"/>
    <w:rsid w:val="00D24522"/>
    <w:rsid w:val="00D246DB"/>
    <w:rsid w:val="00D2592E"/>
    <w:rsid w:val="00D25D68"/>
    <w:rsid w:val="00D26AED"/>
    <w:rsid w:val="00D2754A"/>
    <w:rsid w:val="00D27645"/>
    <w:rsid w:val="00D277B9"/>
    <w:rsid w:val="00D30558"/>
    <w:rsid w:val="00D31684"/>
    <w:rsid w:val="00D31D4C"/>
    <w:rsid w:val="00D325A5"/>
    <w:rsid w:val="00D326C9"/>
    <w:rsid w:val="00D32827"/>
    <w:rsid w:val="00D33144"/>
    <w:rsid w:val="00D33630"/>
    <w:rsid w:val="00D33816"/>
    <w:rsid w:val="00D33B86"/>
    <w:rsid w:val="00D34333"/>
    <w:rsid w:val="00D34B9E"/>
    <w:rsid w:val="00D3572D"/>
    <w:rsid w:val="00D36369"/>
    <w:rsid w:val="00D36CB4"/>
    <w:rsid w:val="00D376D4"/>
    <w:rsid w:val="00D4045A"/>
    <w:rsid w:val="00D4272D"/>
    <w:rsid w:val="00D43687"/>
    <w:rsid w:val="00D43D31"/>
    <w:rsid w:val="00D44591"/>
    <w:rsid w:val="00D44CD1"/>
    <w:rsid w:val="00D45001"/>
    <w:rsid w:val="00D452DC"/>
    <w:rsid w:val="00D47174"/>
    <w:rsid w:val="00D47FD2"/>
    <w:rsid w:val="00D51347"/>
    <w:rsid w:val="00D516EA"/>
    <w:rsid w:val="00D52F42"/>
    <w:rsid w:val="00D53234"/>
    <w:rsid w:val="00D5407F"/>
    <w:rsid w:val="00D5415F"/>
    <w:rsid w:val="00D54D5C"/>
    <w:rsid w:val="00D56BFB"/>
    <w:rsid w:val="00D57290"/>
    <w:rsid w:val="00D57422"/>
    <w:rsid w:val="00D612D4"/>
    <w:rsid w:val="00D616DC"/>
    <w:rsid w:val="00D63128"/>
    <w:rsid w:val="00D643BF"/>
    <w:rsid w:val="00D649CF"/>
    <w:rsid w:val="00D64BEF"/>
    <w:rsid w:val="00D64D5B"/>
    <w:rsid w:val="00D64EAB"/>
    <w:rsid w:val="00D65039"/>
    <w:rsid w:val="00D6512E"/>
    <w:rsid w:val="00D65346"/>
    <w:rsid w:val="00D65DC9"/>
    <w:rsid w:val="00D679EB"/>
    <w:rsid w:val="00D70B5D"/>
    <w:rsid w:val="00D70DC5"/>
    <w:rsid w:val="00D7153D"/>
    <w:rsid w:val="00D716B3"/>
    <w:rsid w:val="00D718CB"/>
    <w:rsid w:val="00D71C18"/>
    <w:rsid w:val="00D727FB"/>
    <w:rsid w:val="00D72ECD"/>
    <w:rsid w:val="00D73468"/>
    <w:rsid w:val="00D742AD"/>
    <w:rsid w:val="00D743E1"/>
    <w:rsid w:val="00D74B59"/>
    <w:rsid w:val="00D753B8"/>
    <w:rsid w:val="00D75F1E"/>
    <w:rsid w:val="00D7623C"/>
    <w:rsid w:val="00D76B95"/>
    <w:rsid w:val="00D76D53"/>
    <w:rsid w:val="00D80186"/>
    <w:rsid w:val="00D8057A"/>
    <w:rsid w:val="00D80F5D"/>
    <w:rsid w:val="00D822A3"/>
    <w:rsid w:val="00D8238A"/>
    <w:rsid w:val="00D83766"/>
    <w:rsid w:val="00D837B2"/>
    <w:rsid w:val="00D83E4F"/>
    <w:rsid w:val="00D8536A"/>
    <w:rsid w:val="00D8606C"/>
    <w:rsid w:val="00D87FFA"/>
    <w:rsid w:val="00D90180"/>
    <w:rsid w:val="00D904D8"/>
    <w:rsid w:val="00D904DD"/>
    <w:rsid w:val="00D923D6"/>
    <w:rsid w:val="00D92792"/>
    <w:rsid w:val="00D9379B"/>
    <w:rsid w:val="00D9389F"/>
    <w:rsid w:val="00D93D9F"/>
    <w:rsid w:val="00D94DB0"/>
    <w:rsid w:val="00D95184"/>
    <w:rsid w:val="00D976C9"/>
    <w:rsid w:val="00DA0C20"/>
    <w:rsid w:val="00DA1992"/>
    <w:rsid w:val="00DA1B8C"/>
    <w:rsid w:val="00DA1FDD"/>
    <w:rsid w:val="00DA5307"/>
    <w:rsid w:val="00DA5B41"/>
    <w:rsid w:val="00DA62F1"/>
    <w:rsid w:val="00DA6698"/>
    <w:rsid w:val="00DA6747"/>
    <w:rsid w:val="00DA6D4B"/>
    <w:rsid w:val="00DA7005"/>
    <w:rsid w:val="00DA7C62"/>
    <w:rsid w:val="00DB2B00"/>
    <w:rsid w:val="00DB2C31"/>
    <w:rsid w:val="00DB324D"/>
    <w:rsid w:val="00DB396F"/>
    <w:rsid w:val="00DB45F9"/>
    <w:rsid w:val="00DB46B1"/>
    <w:rsid w:val="00DB5AC7"/>
    <w:rsid w:val="00DB65AF"/>
    <w:rsid w:val="00DB6AE7"/>
    <w:rsid w:val="00DB73BE"/>
    <w:rsid w:val="00DC1246"/>
    <w:rsid w:val="00DC1B77"/>
    <w:rsid w:val="00DC1F32"/>
    <w:rsid w:val="00DC27D4"/>
    <w:rsid w:val="00DC3BA0"/>
    <w:rsid w:val="00DC44CB"/>
    <w:rsid w:val="00DC50D5"/>
    <w:rsid w:val="00DC5110"/>
    <w:rsid w:val="00DC6F7F"/>
    <w:rsid w:val="00DD0184"/>
    <w:rsid w:val="00DD0361"/>
    <w:rsid w:val="00DD054E"/>
    <w:rsid w:val="00DD17EE"/>
    <w:rsid w:val="00DD1DDD"/>
    <w:rsid w:val="00DD259E"/>
    <w:rsid w:val="00DD25CB"/>
    <w:rsid w:val="00DD38CA"/>
    <w:rsid w:val="00DD3AE4"/>
    <w:rsid w:val="00DD4285"/>
    <w:rsid w:val="00DD47D7"/>
    <w:rsid w:val="00DD53C2"/>
    <w:rsid w:val="00DD7189"/>
    <w:rsid w:val="00DE04B7"/>
    <w:rsid w:val="00DE0615"/>
    <w:rsid w:val="00DE07F0"/>
    <w:rsid w:val="00DE0EDF"/>
    <w:rsid w:val="00DE2490"/>
    <w:rsid w:val="00DE283E"/>
    <w:rsid w:val="00DE2DE9"/>
    <w:rsid w:val="00DE2FED"/>
    <w:rsid w:val="00DE3079"/>
    <w:rsid w:val="00DE3B3B"/>
    <w:rsid w:val="00DE3D2E"/>
    <w:rsid w:val="00DE457A"/>
    <w:rsid w:val="00DE4AAD"/>
    <w:rsid w:val="00DE4EE8"/>
    <w:rsid w:val="00DE57A2"/>
    <w:rsid w:val="00DE591F"/>
    <w:rsid w:val="00DE692A"/>
    <w:rsid w:val="00DE73A9"/>
    <w:rsid w:val="00DE775B"/>
    <w:rsid w:val="00DE797C"/>
    <w:rsid w:val="00DF02A9"/>
    <w:rsid w:val="00DF07A3"/>
    <w:rsid w:val="00DF1C61"/>
    <w:rsid w:val="00DF2FA5"/>
    <w:rsid w:val="00DF36EF"/>
    <w:rsid w:val="00DF408D"/>
    <w:rsid w:val="00DF53D8"/>
    <w:rsid w:val="00DF6270"/>
    <w:rsid w:val="00E0107B"/>
    <w:rsid w:val="00E02B7F"/>
    <w:rsid w:val="00E02DF5"/>
    <w:rsid w:val="00E059C3"/>
    <w:rsid w:val="00E06192"/>
    <w:rsid w:val="00E0619E"/>
    <w:rsid w:val="00E06F64"/>
    <w:rsid w:val="00E0762E"/>
    <w:rsid w:val="00E07912"/>
    <w:rsid w:val="00E07D76"/>
    <w:rsid w:val="00E10DC2"/>
    <w:rsid w:val="00E10E2F"/>
    <w:rsid w:val="00E12499"/>
    <w:rsid w:val="00E12787"/>
    <w:rsid w:val="00E14264"/>
    <w:rsid w:val="00E154BF"/>
    <w:rsid w:val="00E15BA2"/>
    <w:rsid w:val="00E17E6B"/>
    <w:rsid w:val="00E20874"/>
    <w:rsid w:val="00E209E4"/>
    <w:rsid w:val="00E21B07"/>
    <w:rsid w:val="00E21FFE"/>
    <w:rsid w:val="00E23466"/>
    <w:rsid w:val="00E23568"/>
    <w:rsid w:val="00E23B44"/>
    <w:rsid w:val="00E23FC2"/>
    <w:rsid w:val="00E24D6D"/>
    <w:rsid w:val="00E24E8D"/>
    <w:rsid w:val="00E2545F"/>
    <w:rsid w:val="00E26A5B"/>
    <w:rsid w:val="00E30EEA"/>
    <w:rsid w:val="00E31736"/>
    <w:rsid w:val="00E31B9A"/>
    <w:rsid w:val="00E31E88"/>
    <w:rsid w:val="00E33041"/>
    <w:rsid w:val="00E3315A"/>
    <w:rsid w:val="00E34024"/>
    <w:rsid w:val="00E34276"/>
    <w:rsid w:val="00E34FE4"/>
    <w:rsid w:val="00E35ACD"/>
    <w:rsid w:val="00E35FBE"/>
    <w:rsid w:val="00E3642B"/>
    <w:rsid w:val="00E378E2"/>
    <w:rsid w:val="00E41B2D"/>
    <w:rsid w:val="00E42075"/>
    <w:rsid w:val="00E432E6"/>
    <w:rsid w:val="00E43ACA"/>
    <w:rsid w:val="00E445B7"/>
    <w:rsid w:val="00E44775"/>
    <w:rsid w:val="00E4537F"/>
    <w:rsid w:val="00E4685C"/>
    <w:rsid w:val="00E46ABC"/>
    <w:rsid w:val="00E47137"/>
    <w:rsid w:val="00E50E4E"/>
    <w:rsid w:val="00E518E1"/>
    <w:rsid w:val="00E52310"/>
    <w:rsid w:val="00E527D9"/>
    <w:rsid w:val="00E52F6E"/>
    <w:rsid w:val="00E54158"/>
    <w:rsid w:val="00E546F1"/>
    <w:rsid w:val="00E547FE"/>
    <w:rsid w:val="00E54B75"/>
    <w:rsid w:val="00E552E8"/>
    <w:rsid w:val="00E556D0"/>
    <w:rsid w:val="00E62836"/>
    <w:rsid w:val="00E62F73"/>
    <w:rsid w:val="00E6434D"/>
    <w:rsid w:val="00E64372"/>
    <w:rsid w:val="00E64964"/>
    <w:rsid w:val="00E64A6B"/>
    <w:rsid w:val="00E64BF8"/>
    <w:rsid w:val="00E64C5F"/>
    <w:rsid w:val="00E65621"/>
    <w:rsid w:val="00E65D3B"/>
    <w:rsid w:val="00E6688E"/>
    <w:rsid w:val="00E66C43"/>
    <w:rsid w:val="00E66EBE"/>
    <w:rsid w:val="00E66F57"/>
    <w:rsid w:val="00E676AA"/>
    <w:rsid w:val="00E72678"/>
    <w:rsid w:val="00E7290F"/>
    <w:rsid w:val="00E7328D"/>
    <w:rsid w:val="00E73B57"/>
    <w:rsid w:val="00E74E16"/>
    <w:rsid w:val="00E75423"/>
    <w:rsid w:val="00E7572A"/>
    <w:rsid w:val="00E7578C"/>
    <w:rsid w:val="00E76663"/>
    <w:rsid w:val="00E768C5"/>
    <w:rsid w:val="00E76C84"/>
    <w:rsid w:val="00E800B6"/>
    <w:rsid w:val="00E8063F"/>
    <w:rsid w:val="00E836A4"/>
    <w:rsid w:val="00E839A6"/>
    <w:rsid w:val="00E83EAF"/>
    <w:rsid w:val="00E842E3"/>
    <w:rsid w:val="00E843FE"/>
    <w:rsid w:val="00E85315"/>
    <w:rsid w:val="00E85C70"/>
    <w:rsid w:val="00E86006"/>
    <w:rsid w:val="00E863FE"/>
    <w:rsid w:val="00E86592"/>
    <w:rsid w:val="00E86F8C"/>
    <w:rsid w:val="00E8708F"/>
    <w:rsid w:val="00E87755"/>
    <w:rsid w:val="00E87A4E"/>
    <w:rsid w:val="00E90A33"/>
    <w:rsid w:val="00E915EE"/>
    <w:rsid w:val="00E92141"/>
    <w:rsid w:val="00E925EE"/>
    <w:rsid w:val="00E9372D"/>
    <w:rsid w:val="00E93C86"/>
    <w:rsid w:val="00E94DEA"/>
    <w:rsid w:val="00E953BE"/>
    <w:rsid w:val="00E9676F"/>
    <w:rsid w:val="00E96A55"/>
    <w:rsid w:val="00E975E7"/>
    <w:rsid w:val="00E97EC6"/>
    <w:rsid w:val="00EA0FCF"/>
    <w:rsid w:val="00EA11E6"/>
    <w:rsid w:val="00EA223B"/>
    <w:rsid w:val="00EA2B23"/>
    <w:rsid w:val="00EA51D9"/>
    <w:rsid w:val="00EA6820"/>
    <w:rsid w:val="00EA7291"/>
    <w:rsid w:val="00EA749D"/>
    <w:rsid w:val="00EA76A0"/>
    <w:rsid w:val="00EB06EF"/>
    <w:rsid w:val="00EB08D8"/>
    <w:rsid w:val="00EB0AC7"/>
    <w:rsid w:val="00EB0FBB"/>
    <w:rsid w:val="00EB135B"/>
    <w:rsid w:val="00EB1869"/>
    <w:rsid w:val="00EB2EBB"/>
    <w:rsid w:val="00EB3547"/>
    <w:rsid w:val="00EB41F7"/>
    <w:rsid w:val="00EB5893"/>
    <w:rsid w:val="00EB5D42"/>
    <w:rsid w:val="00EB6D75"/>
    <w:rsid w:val="00EB6E0C"/>
    <w:rsid w:val="00EB743D"/>
    <w:rsid w:val="00EB758E"/>
    <w:rsid w:val="00EC0112"/>
    <w:rsid w:val="00EC0700"/>
    <w:rsid w:val="00EC276F"/>
    <w:rsid w:val="00EC3670"/>
    <w:rsid w:val="00EC4601"/>
    <w:rsid w:val="00EC474A"/>
    <w:rsid w:val="00EC525B"/>
    <w:rsid w:val="00EC5297"/>
    <w:rsid w:val="00EC541B"/>
    <w:rsid w:val="00EC545B"/>
    <w:rsid w:val="00EC5986"/>
    <w:rsid w:val="00EC5C7D"/>
    <w:rsid w:val="00EC6656"/>
    <w:rsid w:val="00EC6C42"/>
    <w:rsid w:val="00EC6EB8"/>
    <w:rsid w:val="00EC71A5"/>
    <w:rsid w:val="00EC71C4"/>
    <w:rsid w:val="00EC75D9"/>
    <w:rsid w:val="00EC765F"/>
    <w:rsid w:val="00EC76B5"/>
    <w:rsid w:val="00EC7ACD"/>
    <w:rsid w:val="00ED1E0C"/>
    <w:rsid w:val="00ED32C6"/>
    <w:rsid w:val="00ED4B95"/>
    <w:rsid w:val="00ED70DB"/>
    <w:rsid w:val="00ED70FC"/>
    <w:rsid w:val="00ED7D17"/>
    <w:rsid w:val="00EE0E65"/>
    <w:rsid w:val="00EE1226"/>
    <w:rsid w:val="00EE124A"/>
    <w:rsid w:val="00EE26D7"/>
    <w:rsid w:val="00EE2864"/>
    <w:rsid w:val="00EE2963"/>
    <w:rsid w:val="00EE39A0"/>
    <w:rsid w:val="00EE4440"/>
    <w:rsid w:val="00EE5727"/>
    <w:rsid w:val="00EE578E"/>
    <w:rsid w:val="00EE588D"/>
    <w:rsid w:val="00EE6523"/>
    <w:rsid w:val="00EE760B"/>
    <w:rsid w:val="00EF0A34"/>
    <w:rsid w:val="00EF0CDE"/>
    <w:rsid w:val="00EF0D9D"/>
    <w:rsid w:val="00EF1558"/>
    <w:rsid w:val="00EF1A19"/>
    <w:rsid w:val="00EF1E23"/>
    <w:rsid w:val="00EF217E"/>
    <w:rsid w:val="00EF23B1"/>
    <w:rsid w:val="00EF2712"/>
    <w:rsid w:val="00EF276E"/>
    <w:rsid w:val="00EF2D8F"/>
    <w:rsid w:val="00EF4034"/>
    <w:rsid w:val="00EF49E5"/>
    <w:rsid w:val="00EF4E2A"/>
    <w:rsid w:val="00EF575E"/>
    <w:rsid w:val="00EF5801"/>
    <w:rsid w:val="00EF5A2F"/>
    <w:rsid w:val="00EF5F69"/>
    <w:rsid w:val="00EF662A"/>
    <w:rsid w:val="00EF68F9"/>
    <w:rsid w:val="00EF6BE2"/>
    <w:rsid w:val="00F00345"/>
    <w:rsid w:val="00F006BD"/>
    <w:rsid w:val="00F01A2E"/>
    <w:rsid w:val="00F026AA"/>
    <w:rsid w:val="00F03A64"/>
    <w:rsid w:val="00F0419B"/>
    <w:rsid w:val="00F04CAE"/>
    <w:rsid w:val="00F05E73"/>
    <w:rsid w:val="00F065FB"/>
    <w:rsid w:val="00F07460"/>
    <w:rsid w:val="00F075E0"/>
    <w:rsid w:val="00F07A65"/>
    <w:rsid w:val="00F07C70"/>
    <w:rsid w:val="00F07DDE"/>
    <w:rsid w:val="00F10215"/>
    <w:rsid w:val="00F10824"/>
    <w:rsid w:val="00F11968"/>
    <w:rsid w:val="00F120C6"/>
    <w:rsid w:val="00F126D4"/>
    <w:rsid w:val="00F12A80"/>
    <w:rsid w:val="00F12DE1"/>
    <w:rsid w:val="00F12E7B"/>
    <w:rsid w:val="00F1321F"/>
    <w:rsid w:val="00F14B92"/>
    <w:rsid w:val="00F14D5C"/>
    <w:rsid w:val="00F15CEE"/>
    <w:rsid w:val="00F1607F"/>
    <w:rsid w:val="00F164A1"/>
    <w:rsid w:val="00F168B8"/>
    <w:rsid w:val="00F17D1C"/>
    <w:rsid w:val="00F20C7E"/>
    <w:rsid w:val="00F21BC4"/>
    <w:rsid w:val="00F2293C"/>
    <w:rsid w:val="00F234B0"/>
    <w:rsid w:val="00F246EB"/>
    <w:rsid w:val="00F2498E"/>
    <w:rsid w:val="00F25D79"/>
    <w:rsid w:val="00F27447"/>
    <w:rsid w:val="00F300E2"/>
    <w:rsid w:val="00F308BE"/>
    <w:rsid w:val="00F31FCE"/>
    <w:rsid w:val="00F32550"/>
    <w:rsid w:val="00F3322D"/>
    <w:rsid w:val="00F33C6D"/>
    <w:rsid w:val="00F33DDD"/>
    <w:rsid w:val="00F34B68"/>
    <w:rsid w:val="00F3517A"/>
    <w:rsid w:val="00F3548A"/>
    <w:rsid w:val="00F3568D"/>
    <w:rsid w:val="00F35B1C"/>
    <w:rsid w:val="00F370ED"/>
    <w:rsid w:val="00F37A00"/>
    <w:rsid w:val="00F40BA8"/>
    <w:rsid w:val="00F4167A"/>
    <w:rsid w:val="00F41EBD"/>
    <w:rsid w:val="00F41F32"/>
    <w:rsid w:val="00F4212C"/>
    <w:rsid w:val="00F421C9"/>
    <w:rsid w:val="00F42BB4"/>
    <w:rsid w:val="00F444F5"/>
    <w:rsid w:val="00F44C5C"/>
    <w:rsid w:val="00F44C63"/>
    <w:rsid w:val="00F45EB8"/>
    <w:rsid w:val="00F4614E"/>
    <w:rsid w:val="00F469BD"/>
    <w:rsid w:val="00F50B32"/>
    <w:rsid w:val="00F51B12"/>
    <w:rsid w:val="00F525F4"/>
    <w:rsid w:val="00F538DA"/>
    <w:rsid w:val="00F53E80"/>
    <w:rsid w:val="00F548C4"/>
    <w:rsid w:val="00F54A42"/>
    <w:rsid w:val="00F54DC0"/>
    <w:rsid w:val="00F55BD1"/>
    <w:rsid w:val="00F5625E"/>
    <w:rsid w:val="00F5676D"/>
    <w:rsid w:val="00F569BA"/>
    <w:rsid w:val="00F576E3"/>
    <w:rsid w:val="00F57C51"/>
    <w:rsid w:val="00F60E8D"/>
    <w:rsid w:val="00F61646"/>
    <w:rsid w:val="00F6253A"/>
    <w:rsid w:val="00F62A82"/>
    <w:rsid w:val="00F62D84"/>
    <w:rsid w:val="00F62E00"/>
    <w:rsid w:val="00F645D2"/>
    <w:rsid w:val="00F64BC2"/>
    <w:rsid w:val="00F651B3"/>
    <w:rsid w:val="00F6587D"/>
    <w:rsid w:val="00F65CB2"/>
    <w:rsid w:val="00F65E0A"/>
    <w:rsid w:val="00F67055"/>
    <w:rsid w:val="00F674DE"/>
    <w:rsid w:val="00F67641"/>
    <w:rsid w:val="00F678AC"/>
    <w:rsid w:val="00F67CAE"/>
    <w:rsid w:val="00F70734"/>
    <w:rsid w:val="00F71162"/>
    <w:rsid w:val="00F715CC"/>
    <w:rsid w:val="00F717C0"/>
    <w:rsid w:val="00F71B27"/>
    <w:rsid w:val="00F720D2"/>
    <w:rsid w:val="00F72CA2"/>
    <w:rsid w:val="00F73431"/>
    <w:rsid w:val="00F73A70"/>
    <w:rsid w:val="00F74DFE"/>
    <w:rsid w:val="00F751A2"/>
    <w:rsid w:val="00F75CD1"/>
    <w:rsid w:val="00F7681F"/>
    <w:rsid w:val="00F77607"/>
    <w:rsid w:val="00F778B1"/>
    <w:rsid w:val="00F77C97"/>
    <w:rsid w:val="00F80059"/>
    <w:rsid w:val="00F800DE"/>
    <w:rsid w:val="00F8192B"/>
    <w:rsid w:val="00F84140"/>
    <w:rsid w:val="00F85289"/>
    <w:rsid w:val="00F86459"/>
    <w:rsid w:val="00F865BD"/>
    <w:rsid w:val="00F86703"/>
    <w:rsid w:val="00F86718"/>
    <w:rsid w:val="00F86BA3"/>
    <w:rsid w:val="00F86E68"/>
    <w:rsid w:val="00F87555"/>
    <w:rsid w:val="00F909D5"/>
    <w:rsid w:val="00F90AA4"/>
    <w:rsid w:val="00F91073"/>
    <w:rsid w:val="00F915E3"/>
    <w:rsid w:val="00F91AF9"/>
    <w:rsid w:val="00F91B59"/>
    <w:rsid w:val="00F91F1B"/>
    <w:rsid w:val="00F91FA7"/>
    <w:rsid w:val="00F921F8"/>
    <w:rsid w:val="00F93554"/>
    <w:rsid w:val="00F944DB"/>
    <w:rsid w:val="00F94B6B"/>
    <w:rsid w:val="00F96750"/>
    <w:rsid w:val="00F96BEE"/>
    <w:rsid w:val="00F97957"/>
    <w:rsid w:val="00F97F22"/>
    <w:rsid w:val="00FA0DF8"/>
    <w:rsid w:val="00FA101E"/>
    <w:rsid w:val="00FA1141"/>
    <w:rsid w:val="00FA28DE"/>
    <w:rsid w:val="00FA2FFC"/>
    <w:rsid w:val="00FA370C"/>
    <w:rsid w:val="00FA48D4"/>
    <w:rsid w:val="00FA4FD4"/>
    <w:rsid w:val="00FA6094"/>
    <w:rsid w:val="00FA616E"/>
    <w:rsid w:val="00FA65B2"/>
    <w:rsid w:val="00FA6A82"/>
    <w:rsid w:val="00FA6C0A"/>
    <w:rsid w:val="00FA6F39"/>
    <w:rsid w:val="00FA725D"/>
    <w:rsid w:val="00FA797C"/>
    <w:rsid w:val="00FB1472"/>
    <w:rsid w:val="00FB2679"/>
    <w:rsid w:val="00FB3244"/>
    <w:rsid w:val="00FB343A"/>
    <w:rsid w:val="00FB3D30"/>
    <w:rsid w:val="00FB411C"/>
    <w:rsid w:val="00FB4922"/>
    <w:rsid w:val="00FB6283"/>
    <w:rsid w:val="00FB7027"/>
    <w:rsid w:val="00FB72E7"/>
    <w:rsid w:val="00FB787F"/>
    <w:rsid w:val="00FB7F82"/>
    <w:rsid w:val="00FC1038"/>
    <w:rsid w:val="00FC1A62"/>
    <w:rsid w:val="00FC1C85"/>
    <w:rsid w:val="00FC204B"/>
    <w:rsid w:val="00FC22BF"/>
    <w:rsid w:val="00FC2A05"/>
    <w:rsid w:val="00FC34E7"/>
    <w:rsid w:val="00FC3B51"/>
    <w:rsid w:val="00FC428F"/>
    <w:rsid w:val="00FC44A8"/>
    <w:rsid w:val="00FC4AFD"/>
    <w:rsid w:val="00FC50A3"/>
    <w:rsid w:val="00FC679C"/>
    <w:rsid w:val="00FC73D3"/>
    <w:rsid w:val="00FC764A"/>
    <w:rsid w:val="00FD0F5C"/>
    <w:rsid w:val="00FD0FB1"/>
    <w:rsid w:val="00FD104C"/>
    <w:rsid w:val="00FD1102"/>
    <w:rsid w:val="00FD1BE3"/>
    <w:rsid w:val="00FD42DB"/>
    <w:rsid w:val="00FD46FB"/>
    <w:rsid w:val="00FD69A7"/>
    <w:rsid w:val="00FD6A5E"/>
    <w:rsid w:val="00FD6B44"/>
    <w:rsid w:val="00FD70B1"/>
    <w:rsid w:val="00FD7873"/>
    <w:rsid w:val="00FD7B5C"/>
    <w:rsid w:val="00FE0968"/>
    <w:rsid w:val="00FE0CD1"/>
    <w:rsid w:val="00FE0DCB"/>
    <w:rsid w:val="00FE12CC"/>
    <w:rsid w:val="00FE22EE"/>
    <w:rsid w:val="00FE2D83"/>
    <w:rsid w:val="00FE39FC"/>
    <w:rsid w:val="00FE3AB7"/>
    <w:rsid w:val="00FE428D"/>
    <w:rsid w:val="00FE4C7F"/>
    <w:rsid w:val="00FE5AA3"/>
    <w:rsid w:val="00FE6DA8"/>
    <w:rsid w:val="00FE742C"/>
    <w:rsid w:val="00FE7CC7"/>
    <w:rsid w:val="00FE7EA5"/>
    <w:rsid w:val="00FF053B"/>
    <w:rsid w:val="00FF0DB6"/>
    <w:rsid w:val="00FF177D"/>
    <w:rsid w:val="00FF1865"/>
    <w:rsid w:val="00FF18D3"/>
    <w:rsid w:val="00FF298F"/>
    <w:rsid w:val="00FF2A2F"/>
    <w:rsid w:val="00FF5209"/>
    <w:rsid w:val="00FF58A3"/>
    <w:rsid w:val="00FF5F2C"/>
    <w:rsid w:val="00FF7673"/>
    <w:rsid w:val="035107A6"/>
    <w:rsid w:val="05BF0534"/>
    <w:rsid w:val="06F4E8C9"/>
    <w:rsid w:val="07964A84"/>
    <w:rsid w:val="09BF2914"/>
    <w:rsid w:val="0AFE6497"/>
    <w:rsid w:val="0AFFADF8"/>
    <w:rsid w:val="0DDD4350"/>
    <w:rsid w:val="0E6C8B11"/>
    <w:rsid w:val="0EEB55F5"/>
    <w:rsid w:val="0FAF2F58"/>
    <w:rsid w:val="0FF5B68B"/>
    <w:rsid w:val="0FF6C71A"/>
    <w:rsid w:val="12FED52F"/>
    <w:rsid w:val="132D5296"/>
    <w:rsid w:val="13DC7830"/>
    <w:rsid w:val="157F8CE9"/>
    <w:rsid w:val="15A39AE0"/>
    <w:rsid w:val="162FB366"/>
    <w:rsid w:val="17771358"/>
    <w:rsid w:val="177B3D3E"/>
    <w:rsid w:val="17AD82A5"/>
    <w:rsid w:val="17BE2CB9"/>
    <w:rsid w:val="17E5A25E"/>
    <w:rsid w:val="17EE2620"/>
    <w:rsid w:val="17FF3F36"/>
    <w:rsid w:val="181FF59E"/>
    <w:rsid w:val="19FC5639"/>
    <w:rsid w:val="1A3EE02C"/>
    <w:rsid w:val="1ABD8CE8"/>
    <w:rsid w:val="1ADE9FF7"/>
    <w:rsid w:val="1AEDB8A1"/>
    <w:rsid w:val="1B3A3E1F"/>
    <w:rsid w:val="1B9EF487"/>
    <w:rsid w:val="1BB74F10"/>
    <w:rsid w:val="1BDB66B7"/>
    <w:rsid w:val="1CE33AF4"/>
    <w:rsid w:val="1D675303"/>
    <w:rsid w:val="1D73DB32"/>
    <w:rsid w:val="1D77F4A0"/>
    <w:rsid w:val="1DCC08E0"/>
    <w:rsid w:val="1DDB2FF4"/>
    <w:rsid w:val="1DDC636F"/>
    <w:rsid w:val="1DFDF9D2"/>
    <w:rsid w:val="1DFEB203"/>
    <w:rsid w:val="1DFF271F"/>
    <w:rsid w:val="1DFF6A58"/>
    <w:rsid w:val="1E3F753B"/>
    <w:rsid w:val="1E9E20E0"/>
    <w:rsid w:val="1EF559A0"/>
    <w:rsid w:val="1EF7CF36"/>
    <w:rsid w:val="1EFB6A6C"/>
    <w:rsid w:val="1EFF1E41"/>
    <w:rsid w:val="1F3BDC4A"/>
    <w:rsid w:val="1F4F2371"/>
    <w:rsid w:val="1F5378FD"/>
    <w:rsid w:val="1FBFE1CA"/>
    <w:rsid w:val="1FDF9F05"/>
    <w:rsid w:val="1FEB270B"/>
    <w:rsid w:val="1FEF700F"/>
    <w:rsid w:val="1FF15B3B"/>
    <w:rsid w:val="1FF7188D"/>
    <w:rsid w:val="1FF7DB1F"/>
    <w:rsid w:val="1FF7E853"/>
    <w:rsid w:val="1FFB08A2"/>
    <w:rsid w:val="1FFCD0AA"/>
    <w:rsid w:val="1FFEBD1A"/>
    <w:rsid w:val="1FFF9981"/>
    <w:rsid w:val="1FFFC270"/>
    <w:rsid w:val="209B0A84"/>
    <w:rsid w:val="215F8988"/>
    <w:rsid w:val="23D7B089"/>
    <w:rsid w:val="23FFAB89"/>
    <w:rsid w:val="25BCBB09"/>
    <w:rsid w:val="25CFCAD9"/>
    <w:rsid w:val="25DFE1AA"/>
    <w:rsid w:val="25FFD012"/>
    <w:rsid w:val="26BF83AF"/>
    <w:rsid w:val="26FE6EF9"/>
    <w:rsid w:val="27B3C09A"/>
    <w:rsid w:val="27DC52B5"/>
    <w:rsid w:val="27ED11F1"/>
    <w:rsid w:val="27F3BD69"/>
    <w:rsid w:val="27FBAB09"/>
    <w:rsid w:val="27FFF87A"/>
    <w:rsid w:val="286A6892"/>
    <w:rsid w:val="2A2CADB6"/>
    <w:rsid w:val="2A7E5E88"/>
    <w:rsid w:val="2AB712BF"/>
    <w:rsid w:val="2B7F2492"/>
    <w:rsid w:val="2BBF8E0F"/>
    <w:rsid w:val="2BE6F877"/>
    <w:rsid w:val="2BEFA6FC"/>
    <w:rsid w:val="2BF3FB51"/>
    <w:rsid w:val="2CCF3273"/>
    <w:rsid w:val="2D7F4D83"/>
    <w:rsid w:val="2DE2DDF6"/>
    <w:rsid w:val="2DEA19D2"/>
    <w:rsid w:val="2DF70DE9"/>
    <w:rsid w:val="2DFFE02B"/>
    <w:rsid w:val="2E770350"/>
    <w:rsid w:val="2E8C1656"/>
    <w:rsid w:val="2ED71090"/>
    <w:rsid w:val="2EEDE74A"/>
    <w:rsid w:val="2EEF2819"/>
    <w:rsid w:val="2EF23DD4"/>
    <w:rsid w:val="2F444B89"/>
    <w:rsid w:val="2F7567CC"/>
    <w:rsid w:val="2F76540C"/>
    <w:rsid w:val="2F8D54DF"/>
    <w:rsid w:val="2FBC2351"/>
    <w:rsid w:val="2FD14506"/>
    <w:rsid w:val="2FD3603F"/>
    <w:rsid w:val="2FDDF128"/>
    <w:rsid w:val="2FDF43B1"/>
    <w:rsid w:val="2FF3CB37"/>
    <w:rsid w:val="2FFAA9A7"/>
    <w:rsid w:val="2FFB0364"/>
    <w:rsid w:val="2FFC5796"/>
    <w:rsid w:val="2FFC811B"/>
    <w:rsid w:val="2FFD6DD9"/>
    <w:rsid w:val="2FFE91DA"/>
    <w:rsid w:val="2FFE930F"/>
    <w:rsid w:val="2FFFF620"/>
    <w:rsid w:val="31FF22E6"/>
    <w:rsid w:val="32FB3683"/>
    <w:rsid w:val="33319A60"/>
    <w:rsid w:val="33BF016B"/>
    <w:rsid w:val="33CF8FC5"/>
    <w:rsid w:val="33DDC046"/>
    <w:rsid w:val="33E7EB9A"/>
    <w:rsid w:val="33EE494C"/>
    <w:rsid w:val="33FB973F"/>
    <w:rsid w:val="347F2FC8"/>
    <w:rsid w:val="353FB463"/>
    <w:rsid w:val="354D547F"/>
    <w:rsid w:val="354FDE51"/>
    <w:rsid w:val="357D3FBB"/>
    <w:rsid w:val="357E2E26"/>
    <w:rsid w:val="359BB5A7"/>
    <w:rsid w:val="35BB5D00"/>
    <w:rsid w:val="35BEA54F"/>
    <w:rsid w:val="35DF3558"/>
    <w:rsid w:val="35F81AA3"/>
    <w:rsid w:val="35FE541A"/>
    <w:rsid w:val="35FEC14F"/>
    <w:rsid w:val="367D362B"/>
    <w:rsid w:val="369D39FA"/>
    <w:rsid w:val="36BA8BF5"/>
    <w:rsid w:val="36DB70C9"/>
    <w:rsid w:val="36EF44D9"/>
    <w:rsid w:val="36F6806F"/>
    <w:rsid w:val="36FA7865"/>
    <w:rsid w:val="36FAA45A"/>
    <w:rsid w:val="373D787F"/>
    <w:rsid w:val="375EADBE"/>
    <w:rsid w:val="375F0CC8"/>
    <w:rsid w:val="376F15C2"/>
    <w:rsid w:val="376F8CF8"/>
    <w:rsid w:val="377388FE"/>
    <w:rsid w:val="3776AE02"/>
    <w:rsid w:val="3779AB26"/>
    <w:rsid w:val="377DF064"/>
    <w:rsid w:val="377E5D00"/>
    <w:rsid w:val="377FB5FF"/>
    <w:rsid w:val="37AD0DF6"/>
    <w:rsid w:val="37AEEC88"/>
    <w:rsid w:val="37BFE4C8"/>
    <w:rsid w:val="37BFFFB4"/>
    <w:rsid w:val="37C74C56"/>
    <w:rsid w:val="37CFCC94"/>
    <w:rsid w:val="37ED97D6"/>
    <w:rsid w:val="37F3E566"/>
    <w:rsid w:val="37FF02E5"/>
    <w:rsid w:val="37FF13F3"/>
    <w:rsid w:val="38634EE3"/>
    <w:rsid w:val="38FF0F1F"/>
    <w:rsid w:val="393B6F33"/>
    <w:rsid w:val="397FB694"/>
    <w:rsid w:val="39BF8175"/>
    <w:rsid w:val="39DB0EA7"/>
    <w:rsid w:val="39EF96EC"/>
    <w:rsid w:val="39F50DBB"/>
    <w:rsid w:val="39FCFB54"/>
    <w:rsid w:val="3A6F0662"/>
    <w:rsid w:val="3A7E337F"/>
    <w:rsid w:val="3AA7625A"/>
    <w:rsid w:val="3AAB9CB9"/>
    <w:rsid w:val="3ABE3802"/>
    <w:rsid w:val="3AD92AE0"/>
    <w:rsid w:val="3AFFAF39"/>
    <w:rsid w:val="3B491B7B"/>
    <w:rsid w:val="3B5F2C57"/>
    <w:rsid w:val="3B6CD6B5"/>
    <w:rsid w:val="3B6DD48A"/>
    <w:rsid w:val="3B7706FF"/>
    <w:rsid w:val="3B7F606A"/>
    <w:rsid w:val="3BA63A61"/>
    <w:rsid w:val="3BB2C706"/>
    <w:rsid w:val="3BBADF7F"/>
    <w:rsid w:val="3BBF6A2A"/>
    <w:rsid w:val="3BBFAE06"/>
    <w:rsid w:val="3BC9022A"/>
    <w:rsid w:val="3BCEA905"/>
    <w:rsid w:val="3BDB10DF"/>
    <w:rsid w:val="3BDFABF2"/>
    <w:rsid w:val="3BEC0666"/>
    <w:rsid w:val="3BF7B63D"/>
    <w:rsid w:val="3BFE03BF"/>
    <w:rsid w:val="3BFE2123"/>
    <w:rsid w:val="3C95DFDC"/>
    <w:rsid w:val="3CCDE296"/>
    <w:rsid w:val="3D1BC861"/>
    <w:rsid w:val="3D57790C"/>
    <w:rsid w:val="3D57C409"/>
    <w:rsid w:val="3D75DF16"/>
    <w:rsid w:val="3D7C11B8"/>
    <w:rsid w:val="3D7DD413"/>
    <w:rsid w:val="3D7F0A6A"/>
    <w:rsid w:val="3D9FF91E"/>
    <w:rsid w:val="3DA3111B"/>
    <w:rsid w:val="3DBF759D"/>
    <w:rsid w:val="3DD6A5F3"/>
    <w:rsid w:val="3DE7BE5B"/>
    <w:rsid w:val="3DEBC12B"/>
    <w:rsid w:val="3DF8A4C0"/>
    <w:rsid w:val="3DFE5F51"/>
    <w:rsid w:val="3E202766"/>
    <w:rsid w:val="3E3A3621"/>
    <w:rsid w:val="3E6A924E"/>
    <w:rsid w:val="3E6DA9E1"/>
    <w:rsid w:val="3E6ED3D3"/>
    <w:rsid w:val="3E7F74B5"/>
    <w:rsid w:val="3E9F4204"/>
    <w:rsid w:val="3EAFCB91"/>
    <w:rsid w:val="3EBF6BDE"/>
    <w:rsid w:val="3EBF7531"/>
    <w:rsid w:val="3ECB52D2"/>
    <w:rsid w:val="3ECBBEDE"/>
    <w:rsid w:val="3ED3150F"/>
    <w:rsid w:val="3EEF33F1"/>
    <w:rsid w:val="3EF1B0E4"/>
    <w:rsid w:val="3EF6DF86"/>
    <w:rsid w:val="3EF7A853"/>
    <w:rsid w:val="3EFD6FD0"/>
    <w:rsid w:val="3EFD9C96"/>
    <w:rsid w:val="3EFF16B3"/>
    <w:rsid w:val="3EFF61B7"/>
    <w:rsid w:val="3EFF6C42"/>
    <w:rsid w:val="3EFFA252"/>
    <w:rsid w:val="3F0BF5A1"/>
    <w:rsid w:val="3F1EBB61"/>
    <w:rsid w:val="3F3732F7"/>
    <w:rsid w:val="3F395166"/>
    <w:rsid w:val="3F3EB45E"/>
    <w:rsid w:val="3F4B010E"/>
    <w:rsid w:val="3F6D8668"/>
    <w:rsid w:val="3F6E22D5"/>
    <w:rsid w:val="3F740A45"/>
    <w:rsid w:val="3F752EEB"/>
    <w:rsid w:val="3F770892"/>
    <w:rsid w:val="3F774A3F"/>
    <w:rsid w:val="3F776229"/>
    <w:rsid w:val="3F7B9A31"/>
    <w:rsid w:val="3F7CF075"/>
    <w:rsid w:val="3F7DDD7D"/>
    <w:rsid w:val="3F7F2A37"/>
    <w:rsid w:val="3F7F8F49"/>
    <w:rsid w:val="3F7FE448"/>
    <w:rsid w:val="3F83C1E3"/>
    <w:rsid w:val="3FAF1298"/>
    <w:rsid w:val="3FBABA6E"/>
    <w:rsid w:val="3FBB1469"/>
    <w:rsid w:val="3FBDAE92"/>
    <w:rsid w:val="3FBDF4C6"/>
    <w:rsid w:val="3FBEB7EE"/>
    <w:rsid w:val="3FBFD6CD"/>
    <w:rsid w:val="3FC0E1AA"/>
    <w:rsid w:val="3FC7BF9B"/>
    <w:rsid w:val="3FCD3EF5"/>
    <w:rsid w:val="3FCF384A"/>
    <w:rsid w:val="3FCF88B3"/>
    <w:rsid w:val="3FD76D1E"/>
    <w:rsid w:val="3FDAE2E0"/>
    <w:rsid w:val="3FDB08D3"/>
    <w:rsid w:val="3FDDBFAF"/>
    <w:rsid w:val="3FDE0943"/>
    <w:rsid w:val="3FDF03BA"/>
    <w:rsid w:val="3FE780EB"/>
    <w:rsid w:val="3FEF7D1B"/>
    <w:rsid w:val="3FF0948D"/>
    <w:rsid w:val="3FF1BAEF"/>
    <w:rsid w:val="3FF54628"/>
    <w:rsid w:val="3FF71F53"/>
    <w:rsid w:val="3FF784F9"/>
    <w:rsid w:val="3FF78909"/>
    <w:rsid w:val="3FF97B5D"/>
    <w:rsid w:val="3FF98D24"/>
    <w:rsid w:val="3FFB47B4"/>
    <w:rsid w:val="3FFB8785"/>
    <w:rsid w:val="3FFCFDB8"/>
    <w:rsid w:val="3FFEABC0"/>
    <w:rsid w:val="3FFEBF20"/>
    <w:rsid w:val="3FFEEF4A"/>
    <w:rsid w:val="3FFEF009"/>
    <w:rsid w:val="3FFF29F7"/>
    <w:rsid w:val="3FFF687A"/>
    <w:rsid w:val="3FFFC27D"/>
    <w:rsid w:val="408F1FDB"/>
    <w:rsid w:val="419151D5"/>
    <w:rsid w:val="42EB9C29"/>
    <w:rsid w:val="437FF84D"/>
    <w:rsid w:val="439D4C1F"/>
    <w:rsid w:val="43D1385A"/>
    <w:rsid w:val="43FFFB79"/>
    <w:rsid w:val="452F32E3"/>
    <w:rsid w:val="4622744D"/>
    <w:rsid w:val="462F928C"/>
    <w:rsid w:val="46DDA0DC"/>
    <w:rsid w:val="473E273A"/>
    <w:rsid w:val="47DFEFBD"/>
    <w:rsid w:val="47FF1512"/>
    <w:rsid w:val="47FF7212"/>
    <w:rsid w:val="49FB6F86"/>
    <w:rsid w:val="49FF3DEA"/>
    <w:rsid w:val="4A5E41B0"/>
    <w:rsid w:val="4ADFF4F3"/>
    <w:rsid w:val="4AFF5DAC"/>
    <w:rsid w:val="4B530577"/>
    <w:rsid w:val="4B7FC365"/>
    <w:rsid w:val="4B9E6846"/>
    <w:rsid w:val="4BBE0EA1"/>
    <w:rsid w:val="4BCD89E2"/>
    <w:rsid w:val="4BE5DA0B"/>
    <w:rsid w:val="4BFD2723"/>
    <w:rsid w:val="4CEF42C2"/>
    <w:rsid w:val="4CFB2EEF"/>
    <w:rsid w:val="4D6C2CE2"/>
    <w:rsid w:val="4D733841"/>
    <w:rsid w:val="4D7F3C4C"/>
    <w:rsid w:val="4DBD92BA"/>
    <w:rsid w:val="4DBEC52C"/>
    <w:rsid w:val="4DDB9DBD"/>
    <w:rsid w:val="4DDE0D51"/>
    <w:rsid w:val="4DF27413"/>
    <w:rsid w:val="4DFF3774"/>
    <w:rsid w:val="4DFFC27B"/>
    <w:rsid w:val="4E9ED772"/>
    <w:rsid w:val="4EDB2DF6"/>
    <w:rsid w:val="4EFF9005"/>
    <w:rsid w:val="4F1F7A5B"/>
    <w:rsid w:val="4F430284"/>
    <w:rsid w:val="4F99BA56"/>
    <w:rsid w:val="4FB7025F"/>
    <w:rsid w:val="4FB7D4BE"/>
    <w:rsid w:val="4FCB359D"/>
    <w:rsid w:val="4FCF0460"/>
    <w:rsid w:val="4FCF7328"/>
    <w:rsid w:val="4FDE531F"/>
    <w:rsid w:val="4FE32B56"/>
    <w:rsid w:val="4FED6AD5"/>
    <w:rsid w:val="4FF391D3"/>
    <w:rsid w:val="4FF3D54E"/>
    <w:rsid w:val="4FF968E4"/>
    <w:rsid w:val="4FF9DFC7"/>
    <w:rsid w:val="4FFF3E9C"/>
    <w:rsid w:val="4FFFA29C"/>
    <w:rsid w:val="507A6FF4"/>
    <w:rsid w:val="51A165EA"/>
    <w:rsid w:val="51E65EB7"/>
    <w:rsid w:val="533B4AA9"/>
    <w:rsid w:val="5373A078"/>
    <w:rsid w:val="53BE4829"/>
    <w:rsid w:val="53BF7E18"/>
    <w:rsid w:val="53F61908"/>
    <w:rsid w:val="53FA7F03"/>
    <w:rsid w:val="53FC23A8"/>
    <w:rsid w:val="547DB27B"/>
    <w:rsid w:val="54F61D76"/>
    <w:rsid w:val="54FD2C20"/>
    <w:rsid w:val="552FA6FE"/>
    <w:rsid w:val="554FDEE2"/>
    <w:rsid w:val="5577B6CD"/>
    <w:rsid w:val="557C41E5"/>
    <w:rsid w:val="55A91838"/>
    <w:rsid w:val="55F7FE0F"/>
    <w:rsid w:val="55FB301B"/>
    <w:rsid w:val="5674BA7A"/>
    <w:rsid w:val="5675F8E0"/>
    <w:rsid w:val="56AD26FC"/>
    <w:rsid w:val="56E673C9"/>
    <w:rsid w:val="56EF6EA1"/>
    <w:rsid w:val="56F78837"/>
    <w:rsid w:val="56F91CA8"/>
    <w:rsid w:val="56F9D88C"/>
    <w:rsid w:val="56FF2846"/>
    <w:rsid w:val="56FF53F2"/>
    <w:rsid w:val="57374FFB"/>
    <w:rsid w:val="57447446"/>
    <w:rsid w:val="575FAA74"/>
    <w:rsid w:val="576FA649"/>
    <w:rsid w:val="57B7A211"/>
    <w:rsid w:val="57B926FB"/>
    <w:rsid w:val="57BDE825"/>
    <w:rsid w:val="57BF94A4"/>
    <w:rsid w:val="57BFB0BB"/>
    <w:rsid w:val="57C71F09"/>
    <w:rsid w:val="57D8A130"/>
    <w:rsid w:val="57E565C9"/>
    <w:rsid w:val="57EF39D9"/>
    <w:rsid w:val="57EFB12E"/>
    <w:rsid w:val="57F6049A"/>
    <w:rsid w:val="57F7DDF3"/>
    <w:rsid w:val="57FE665D"/>
    <w:rsid w:val="57FF7D82"/>
    <w:rsid w:val="57FFDB67"/>
    <w:rsid w:val="585764B1"/>
    <w:rsid w:val="5967B33D"/>
    <w:rsid w:val="597F512F"/>
    <w:rsid w:val="59AF4651"/>
    <w:rsid w:val="59AFD8C9"/>
    <w:rsid w:val="59F3CC38"/>
    <w:rsid w:val="59FB6723"/>
    <w:rsid w:val="5A7FAD78"/>
    <w:rsid w:val="5AB43183"/>
    <w:rsid w:val="5ADDA4D4"/>
    <w:rsid w:val="5AED5A07"/>
    <w:rsid w:val="5AF305B3"/>
    <w:rsid w:val="5AF58DAE"/>
    <w:rsid w:val="5AFA306F"/>
    <w:rsid w:val="5AFB26FB"/>
    <w:rsid w:val="5AFFC8EF"/>
    <w:rsid w:val="5B4B761C"/>
    <w:rsid w:val="5B5F5E3A"/>
    <w:rsid w:val="5B7FF22D"/>
    <w:rsid w:val="5B88568F"/>
    <w:rsid w:val="5B9F2CB1"/>
    <w:rsid w:val="5BAB42BD"/>
    <w:rsid w:val="5BB782D5"/>
    <w:rsid w:val="5BB7F617"/>
    <w:rsid w:val="5BBB723E"/>
    <w:rsid w:val="5BBDB4B5"/>
    <w:rsid w:val="5BBE6E3E"/>
    <w:rsid w:val="5BCE66F7"/>
    <w:rsid w:val="5BEE2C37"/>
    <w:rsid w:val="5BF525BD"/>
    <w:rsid w:val="5BF72BEA"/>
    <w:rsid w:val="5BFF08DF"/>
    <w:rsid w:val="5BFF5834"/>
    <w:rsid w:val="5BFF71D5"/>
    <w:rsid w:val="5BFFF0C2"/>
    <w:rsid w:val="5C1D4705"/>
    <w:rsid w:val="5C7A5189"/>
    <w:rsid w:val="5C9E52BD"/>
    <w:rsid w:val="5CFF4BC8"/>
    <w:rsid w:val="5D77BEB7"/>
    <w:rsid w:val="5D77FE51"/>
    <w:rsid w:val="5D7D2BF0"/>
    <w:rsid w:val="5D7E20A1"/>
    <w:rsid w:val="5D7FBD53"/>
    <w:rsid w:val="5D7FD4FB"/>
    <w:rsid w:val="5D9F2437"/>
    <w:rsid w:val="5DAF909D"/>
    <w:rsid w:val="5DB56BA1"/>
    <w:rsid w:val="5DBA7E74"/>
    <w:rsid w:val="5DBCAEF5"/>
    <w:rsid w:val="5DBD7B56"/>
    <w:rsid w:val="5DBF619A"/>
    <w:rsid w:val="5DDB43AF"/>
    <w:rsid w:val="5DEBC7AA"/>
    <w:rsid w:val="5DEFC6B8"/>
    <w:rsid w:val="5DFB8813"/>
    <w:rsid w:val="5DFFF8C5"/>
    <w:rsid w:val="5E6C9213"/>
    <w:rsid w:val="5E77D4F1"/>
    <w:rsid w:val="5E7B0890"/>
    <w:rsid w:val="5E7B8D29"/>
    <w:rsid w:val="5E7FA030"/>
    <w:rsid w:val="5E7FA3B3"/>
    <w:rsid w:val="5EBAEBC4"/>
    <w:rsid w:val="5EBE069D"/>
    <w:rsid w:val="5ECE0A92"/>
    <w:rsid w:val="5EE996BD"/>
    <w:rsid w:val="5EEB1322"/>
    <w:rsid w:val="5EED6357"/>
    <w:rsid w:val="5EEF0F14"/>
    <w:rsid w:val="5EF13BAD"/>
    <w:rsid w:val="5EF69D61"/>
    <w:rsid w:val="5EFAB4C1"/>
    <w:rsid w:val="5EFF9108"/>
    <w:rsid w:val="5F0FD042"/>
    <w:rsid w:val="5F0FD763"/>
    <w:rsid w:val="5F1FB56F"/>
    <w:rsid w:val="5F1FFD0C"/>
    <w:rsid w:val="5F5B9D53"/>
    <w:rsid w:val="5F5F4609"/>
    <w:rsid w:val="5F6A80EE"/>
    <w:rsid w:val="5F7E43B8"/>
    <w:rsid w:val="5F7ECD18"/>
    <w:rsid w:val="5F7F6B11"/>
    <w:rsid w:val="5F7F8482"/>
    <w:rsid w:val="5F7F9264"/>
    <w:rsid w:val="5F7FF2F0"/>
    <w:rsid w:val="5F8FE418"/>
    <w:rsid w:val="5F93BED4"/>
    <w:rsid w:val="5F9DE313"/>
    <w:rsid w:val="5F9F1E77"/>
    <w:rsid w:val="5FAA6BA4"/>
    <w:rsid w:val="5FACAFFB"/>
    <w:rsid w:val="5FAFB8ED"/>
    <w:rsid w:val="5FAFED19"/>
    <w:rsid w:val="5FB3DA39"/>
    <w:rsid w:val="5FB4DC17"/>
    <w:rsid w:val="5FBF8A15"/>
    <w:rsid w:val="5FD269B9"/>
    <w:rsid w:val="5FD33EE3"/>
    <w:rsid w:val="5FD3B89F"/>
    <w:rsid w:val="5FDE618A"/>
    <w:rsid w:val="5FDF243D"/>
    <w:rsid w:val="5FDFA3EF"/>
    <w:rsid w:val="5FDFD254"/>
    <w:rsid w:val="5FE36048"/>
    <w:rsid w:val="5FE75105"/>
    <w:rsid w:val="5FEDD952"/>
    <w:rsid w:val="5FEF16A9"/>
    <w:rsid w:val="5FF311F7"/>
    <w:rsid w:val="5FF41743"/>
    <w:rsid w:val="5FF73660"/>
    <w:rsid w:val="5FF74BEE"/>
    <w:rsid w:val="5FF7647E"/>
    <w:rsid w:val="5FF90413"/>
    <w:rsid w:val="5FFBC940"/>
    <w:rsid w:val="5FFC49FE"/>
    <w:rsid w:val="5FFCBDB8"/>
    <w:rsid w:val="5FFD04E8"/>
    <w:rsid w:val="5FFD19ED"/>
    <w:rsid w:val="5FFEF144"/>
    <w:rsid w:val="5FFF19D6"/>
    <w:rsid w:val="5FFF42F7"/>
    <w:rsid w:val="5FFF5689"/>
    <w:rsid w:val="5FFFA5F1"/>
    <w:rsid w:val="5FFFC973"/>
    <w:rsid w:val="5FFFD7AF"/>
    <w:rsid w:val="5FFFDE94"/>
    <w:rsid w:val="5FFFE18D"/>
    <w:rsid w:val="5FFFF508"/>
    <w:rsid w:val="60639C0F"/>
    <w:rsid w:val="637B6670"/>
    <w:rsid w:val="63EA8721"/>
    <w:rsid w:val="63F77266"/>
    <w:rsid w:val="63F8C51C"/>
    <w:rsid w:val="63FE9490"/>
    <w:rsid w:val="63FED065"/>
    <w:rsid w:val="64CF56B4"/>
    <w:rsid w:val="64EC37FA"/>
    <w:rsid w:val="658B5254"/>
    <w:rsid w:val="659F5309"/>
    <w:rsid w:val="65BF1118"/>
    <w:rsid w:val="65DF6517"/>
    <w:rsid w:val="65E9A7B0"/>
    <w:rsid w:val="665D6F2B"/>
    <w:rsid w:val="668FA9DA"/>
    <w:rsid w:val="66EDA314"/>
    <w:rsid w:val="66F3DFC8"/>
    <w:rsid w:val="66FF7F7E"/>
    <w:rsid w:val="671478CF"/>
    <w:rsid w:val="673E2E22"/>
    <w:rsid w:val="67676D2D"/>
    <w:rsid w:val="677A1208"/>
    <w:rsid w:val="67E76746"/>
    <w:rsid w:val="67E827FA"/>
    <w:rsid w:val="67F75BEF"/>
    <w:rsid w:val="67F761A7"/>
    <w:rsid w:val="67F9125E"/>
    <w:rsid w:val="67FB019D"/>
    <w:rsid w:val="67FF5A25"/>
    <w:rsid w:val="67FF941C"/>
    <w:rsid w:val="67FF9526"/>
    <w:rsid w:val="68DF58AA"/>
    <w:rsid w:val="696FBB55"/>
    <w:rsid w:val="697E8064"/>
    <w:rsid w:val="6A73F228"/>
    <w:rsid w:val="6A7D38A4"/>
    <w:rsid w:val="6A9D9698"/>
    <w:rsid w:val="6AAC4EA5"/>
    <w:rsid w:val="6AE345B3"/>
    <w:rsid w:val="6AF2CA72"/>
    <w:rsid w:val="6AF7386C"/>
    <w:rsid w:val="6AF789B2"/>
    <w:rsid w:val="6B2F942E"/>
    <w:rsid w:val="6B491AF9"/>
    <w:rsid w:val="6B4B6E51"/>
    <w:rsid w:val="6B756DF8"/>
    <w:rsid w:val="6B75C821"/>
    <w:rsid w:val="6B7F6557"/>
    <w:rsid w:val="6BDD65FD"/>
    <w:rsid w:val="6BE63307"/>
    <w:rsid w:val="6BF41E24"/>
    <w:rsid w:val="6BF53655"/>
    <w:rsid w:val="6BF84629"/>
    <w:rsid w:val="6BFB8CEE"/>
    <w:rsid w:val="6BFC5707"/>
    <w:rsid w:val="6BFF43C4"/>
    <w:rsid w:val="6C6B57CD"/>
    <w:rsid w:val="6C8F4A55"/>
    <w:rsid w:val="6CCF801E"/>
    <w:rsid w:val="6CF2BA44"/>
    <w:rsid w:val="6CF37D03"/>
    <w:rsid w:val="6D95DF3A"/>
    <w:rsid w:val="6D9EAB5F"/>
    <w:rsid w:val="6D9FBB87"/>
    <w:rsid w:val="6DB23EE5"/>
    <w:rsid w:val="6DBF9D31"/>
    <w:rsid w:val="6DBFC234"/>
    <w:rsid w:val="6DBFC314"/>
    <w:rsid w:val="6DC63695"/>
    <w:rsid w:val="6DCF23BD"/>
    <w:rsid w:val="6DCF30CE"/>
    <w:rsid w:val="6DD523CF"/>
    <w:rsid w:val="6DD7DAE5"/>
    <w:rsid w:val="6DD9A88E"/>
    <w:rsid w:val="6DDF5A88"/>
    <w:rsid w:val="6DDFDD1B"/>
    <w:rsid w:val="6DEED24F"/>
    <w:rsid w:val="6DF3F77B"/>
    <w:rsid w:val="6DF7862B"/>
    <w:rsid w:val="6DF92D49"/>
    <w:rsid w:val="6DFBD03B"/>
    <w:rsid w:val="6DFD2319"/>
    <w:rsid w:val="6DFDFCB6"/>
    <w:rsid w:val="6DFFC2C1"/>
    <w:rsid w:val="6E3FBC4F"/>
    <w:rsid w:val="6E775C6B"/>
    <w:rsid w:val="6E7AEC7B"/>
    <w:rsid w:val="6E96C578"/>
    <w:rsid w:val="6E9F0737"/>
    <w:rsid w:val="6EB6E3F5"/>
    <w:rsid w:val="6EC6E997"/>
    <w:rsid w:val="6EDE1DF9"/>
    <w:rsid w:val="6EF0A00A"/>
    <w:rsid w:val="6EF27F29"/>
    <w:rsid w:val="6EF66C53"/>
    <w:rsid w:val="6F1B4B63"/>
    <w:rsid w:val="6F1FACF9"/>
    <w:rsid w:val="6F2F0E7B"/>
    <w:rsid w:val="6F2F58A1"/>
    <w:rsid w:val="6F37A6F6"/>
    <w:rsid w:val="6F3D5893"/>
    <w:rsid w:val="6F3FA631"/>
    <w:rsid w:val="6F593630"/>
    <w:rsid w:val="6F5B9BD6"/>
    <w:rsid w:val="6F5E7E13"/>
    <w:rsid w:val="6F5FA6BE"/>
    <w:rsid w:val="6F5FB8F8"/>
    <w:rsid w:val="6F69445B"/>
    <w:rsid w:val="6F6BE80A"/>
    <w:rsid w:val="6F6DD0CE"/>
    <w:rsid w:val="6F6F5A41"/>
    <w:rsid w:val="6F73C28A"/>
    <w:rsid w:val="6F75B398"/>
    <w:rsid w:val="6F7F1603"/>
    <w:rsid w:val="6F7FECFB"/>
    <w:rsid w:val="6F9B547E"/>
    <w:rsid w:val="6F9DBEA6"/>
    <w:rsid w:val="6FA7C200"/>
    <w:rsid w:val="6FAB953E"/>
    <w:rsid w:val="6FADC76D"/>
    <w:rsid w:val="6FBA43CE"/>
    <w:rsid w:val="6FBB30B1"/>
    <w:rsid w:val="6FBB398D"/>
    <w:rsid w:val="6FBF525B"/>
    <w:rsid w:val="6FBFC79A"/>
    <w:rsid w:val="6FBFD283"/>
    <w:rsid w:val="6FCB536A"/>
    <w:rsid w:val="6FCF2407"/>
    <w:rsid w:val="6FD76AD6"/>
    <w:rsid w:val="6FDF286A"/>
    <w:rsid w:val="6FDF3554"/>
    <w:rsid w:val="6FDF6ABC"/>
    <w:rsid w:val="6FDF8A52"/>
    <w:rsid w:val="6FDF8B20"/>
    <w:rsid w:val="6FE72E36"/>
    <w:rsid w:val="6FEE1020"/>
    <w:rsid w:val="6FEE479C"/>
    <w:rsid w:val="6FEEF6A3"/>
    <w:rsid w:val="6FF3ED01"/>
    <w:rsid w:val="6FF437D7"/>
    <w:rsid w:val="6FF5B6D4"/>
    <w:rsid w:val="6FF6967A"/>
    <w:rsid w:val="6FF74512"/>
    <w:rsid w:val="6FF794AB"/>
    <w:rsid w:val="6FF7F6FF"/>
    <w:rsid w:val="6FF80D24"/>
    <w:rsid w:val="6FF9C8D3"/>
    <w:rsid w:val="6FFD0CF4"/>
    <w:rsid w:val="6FFE49D1"/>
    <w:rsid w:val="6FFE69A0"/>
    <w:rsid w:val="6FFF10BE"/>
    <w:rsid w:val="6FFF173D"/>
    <w:rsid w:val="6FFF1C5A"/>
    <w:rsid w:val="6FFF44C7"/>
    <w:rsid w:val="6FFF7D6A"/>
    <w:rsid w:val="6FFF7EE0"/>
    <w:rsid w:val="6FFF878F"/>
    <w:rsid w:val="6FFF8A1E"/>
    <w:rsid w:val="6FFFAEB4"/>
    <w:rsid w:val="6FFFCF0C"/>
    <w:rsid w:val="6FFFD21C"/>
    <w:rsid w:val="6FFFF6DB"/>
    <w:rsid w:val="70F7DC1B"/>
    <w:rsid w:val="70FF9504"/>
    <w:rsid w:val="71471B57"/>
    <w:rsid w:val="718F1573"/>
    <w:rsid w:val="71F2ED3B"/>
    <w:rsid w:val="71FCD054"/>
    <w:rsid w:val="72AF8A8A"/>
    <w:rsid w:val="72F7F53D"/>
    <w:rsid w:val="72FB5FA9"/>
    <w:rsid w:val="72FC26AF"/>
    <w:rsid w:val="734F8281"/>
    <w:rsid w:val="737FED4D"/>
    <w:rsid w:val="73BB482F"/>
    <w:rsid w:val="73BBF7B2"/>
    <w:rsid w:val="73C3578A"/>
    <w:rsid w:val="73D71FEC"/>
    <w:rsid w:val="73DB4873"/>
    <w:rsid w:val="73EF80C9"/>
    <w:rsid w:val="73FE4E2B"/>
    <w:rsid w:val="73FFC139"/>
    <w:rsid w:val="73FFC1F5"/>
    <w:rsid w:val="74ABD1CA"/>
    <w:rsid w:val="74ABF41C"/>
    <w:rsid w:val="74C648CF"/>
    <w:rsid w:val="74EF4962"/>
    <w:rsid w:val="74FE2DC3"/>
    <w:rsid w:val="74FF0EFB"/>
    <w:rsid w:val="753C7F78"/>
    <w:rsid w:val="755EBF30"/>
    <w:rsid w:val="7564E499"/>
    <w:rsid w:val="7567869C"/>
    <w:rsid w:val="756D9BCE"/>
    <w:rsid w:val="75876689"/>
    <w:rsid w:val="759B8259"/>
    <w:rsid w:val="75AB6835"/>
    <w:rsid w:val="75AEF101"/>
    <w:rsid w:val="75D3C6CA"/>
    <w:rsid w:val="75DC3D97"/>
    <w:rsid w:val="75E4B04B"/>
    <w:rsid w:val="75EC6A40"/>
    <w:rsid w:val="75EE83F0"/>
    <w:rsid w:val="75EFCAF4"/>
    <w:rsid w:val="75FF53F0"/>
    <w:rsid w:val="75FF81DD"/>
    <w:rsid w:val="7635B074"/>
    <w:rsid w:val="763BC505"/>
    <w:rsid w:val="765F1D9E"/>
    <w:rsid w:val="765FA563"/>
    <w:rsid w:val="765FDA36"/>
    <w:rsid w:val="766BAA8D"/>
    <w:rsid w:val="769B7E62"/>
    <w:rsid w:val="76A7CD10"/>
    <w:rsid w:val="76B7B37F"/>
    <w:rsid w:val="76BC2E53"/>
    <w:rsid w:val="76BD7C4D"/>
    <w:rsid w:val="76BFA950"/>
    <w:rsid w:val="76CB4354"/>
    <w:rsid w:val="76CFFCA8"/>
    <w:rsid w:val="76DE5B45"/>
    <w:rsid w:val="76E9D9F8"/>
    <w:rsid w:val="76F5D658"/>
    <w:rsid w:val="76F7FF37"/>
    <w:rsid w:val="76FEF87D"/>
    <w:rsid w:val="76FFA660"/>
    <w:rsid w:val="771F7C17"/>
    <w:rsid w:val="7735581F"/>
    <w:rsid w:val="773E3B79"/>
    <w:rsid w:val="774D2F39"/>
    <w:rsid w:val="7755F793"/>
    <w:rsid w:val="776759F2"/>
    <w:rsid w:val="776E073C"/>
    <w:rsid w:val="7770E8A4"/>
    <w:rsid w:val="777B9DF0"/>
    <w:rsid w:val="777C0BE9"/>
    <w:rsid w:val="777E9223"/>
    <w:rsid w:val="777F0767"/>
    <w:rsid w:val="777F6479"/>
    <w:rsid w:val="777FC8CD"/>
    <w:rsid w:val="777FD893"/>
    <w:rsid w:val="7781DD2C"/>
    <w:rsid w:val="779E45C9"/>
    <w:rsid w:val="77ADA173"/>
    <w:rsid w:val="77B6F964"/>
    <w:rsid w:val="77BBF454"/>
    <w:rsid w:val="77BF1ABE"/>
    <w:rsid w:val="77BFC780"/>
    <w:rsid w:val="77CD2D6A"/>
    <w:rsid w:val="77CD6FC5"/>
    <w:rsid w:val="77CE3857"/>
    <w:rsid w:val="77CFCC26"/>
    <w:rsid w:val="77D5AC48"/>
    <w:rsid w:val="77DB0077"/>
    <w:rsid w:val="77DB299C"/>
    <w:rsid w:val="77DB497B"/>
    <w:rsid w:val="77DECE9E"/>
    <w:rsid w:val="77DFEBB9"/>
    <w:rsid w:val="77E52283"/>
    <w:rsid w:val="77E72EB5"/>
    <w:rsid w:val="77EFEBD0"/>
    <w:rsid w:val="77EFF788"/>
    <w:rsid w:val="77F0A3A7"/>
    <w:rsid w:val="77F4CB7F"/>
    <w:rsid w:val="77F683FE"/>
    <w:rsid w:val="77F73516"/>
    <w:rsid w:val="77F7C761"/>
    <w:rsid w:val="77F8DD43"/>
    <w:rsid w:val="77FB1DF9"/>
    <w:rsid w:val="77FBA3AD"/>
    <w:rsid w:val="77FE6142"/>
    <w:rsid w:val="77FF055A"/>
    <w:rsid w:val="77FF27B1"/>
    <w:rsid w:val="77FF3A9C"/>
    <w:rsid w:val="77FF425C"/>
    <w:rsid w:val="77FF4316"/>
    <w:rsid w:val="77FF7F8D"/>
    <w:rsid w:val="77FF9FB6"/>
    <w:rsid w:val="77FFA088"/>
    <w:rsid w:val="77FFB4D7"/>
    <w:rsid w:val="77FFBE86"/>
    <w:rsid w:val="77FFDBE0"/>
    <w:rsid w:val="77FFF7BC"/>
    <w:rsid w:val="783E6F2E"/>
    <w:rsid w:val="785B3ECE"/>
    <w:rsid w:val="78CC0421"/>
    <w:rsid w:val="78E90035"/>
    <w:rsid w:val="78FA32E3"/>
    <w:rsid w:val="78FFCC4E"/>
    <w:rsid w:val="7936B3DA"/>
    <w:rsid w:val="79743004"/>
    <w:rsid w:val="79A5B08C"/>
    <w:rsid w:val="79BB3449"/>
    <w:rsid w:val="79BFB504"/>
    <w:rsid w:val="79BFE1EC"/>
    <w:rsid w:val="79D3A2A7"/>
    <w:rsid w:val="79EE6811"/>
    <w:rsid w:val="79F09F6D"/>
    <w:rsid w:val="79F3F9BC"/>
    <w:rsid w:val="79F7333B"/>
    <w:rsid w:val="79FC35EA"/>
    <w:rsid w:val="79FF18BA"/>
    <w:rsid w:val="7A1AA08A"/>
    <w:rsid w:val="7A7900E2"/>
    <w:rsid w:val="7A9D34F4"/>
    <w:rsid w:val="7AAF82B2"/>
    <w:rsid w:val="7AB4F7E2"/>
    <w:rsid w:val="7ACB8A5C"/>
    <w:rsid w:val="7AE6FFA3"/>
    <w:rsid w:val="7AE885BA"/>
    <w:rsid w:val="7AF30C74"/>
    <w:rsid w:val="7AF65DA1"/>
    <w:rsid w:val="7AF687A7"/>
    <w:rsid w:val="7AFB315A"/>
    <w:rsid w:val="7AFD62BF"/>
    <w:rsid w:val="7AFF666B"/>
    <w:rsid w:val="7B397935"/>
    <w:rsid w:val="7B3F4837"/>
    <w:rsid w:val="7B72368B"/>
    <w:rsid w:val="7B7776E2"/>
    <w:rsid w:val="7B79D7CF"/>
    <w:rsid w:val="7B9D3862"/>
    <w:rsid w:val="7BAF5CBE"/>
    <w:rsid w:val="7BB5CAD3"/>
    <w:rsid w:val="7BB70E9D"/>
    <w:rsid w:val="7BB783B6"/>
    <w:rsid w:val="7BBA1825"/>
    <w:rsid w:val="7BBF0C60"/>
    <w:rsid w:val="7BBF1B76"/>
    <w:rsid w:val="7BBFD6B7"/>
    <w:rsid w:val="7BCF6C71"/>
    <w:rsid w:val="7BCFA0FF"/>
    <w:rsid w:val="7BD476A3"/>
    <w:rsid w:val="7BD9B39D"/>
    <w:rsid w:val="7BDC3B61"/>
    <w:rsid w:val="7BDD3C05"/>
    <w:rsid w:val="7BDE8536"/>
    <w:rsid w:val="7BEA7985"/>
    <w:rsid w:val="7BEE028C"/>
    <w:rsid w:val="7BEE3901"/>
    <w:rsid w:val="7BEED6AB"/>
    <w:rsid w:val="7BEFA4F3"/>
    <w:rsid w:val="7BF30B32"/>
    <w:rsid w:val="7BF50096"/>
    <w:rsid w:val="7BF6EACB"/>
    <w:rsid w:val="7BF72E53"/>
    <w:rsid w:val="7BFA02C9"/>
    <w:rsid w:val="7BFAD5AB"/>
    <w:rsid w:val="7BFB8062"/>
    <w:rsid w:val="7BFF0D95"/>
    <w:rsid w:val="7BFF1887"/>
    <w:rsid w:val="7BFF194B"/>
    <w:rsid w:val="7BFF272D"/>
    <w:rsid w:val="7BFF3262"/>
    <w:rsid w:val="7BFF67FE"/>
    <w:rsid w:val="7BFF6FA3"/>
    <w:rsid w:val="7BFF7FCC"/>
    <w:rsid w:val="7BFF9591"/>
    <w:rsid w:val="7BFFB86F"/>
    <w:rsid w:val="7BFFF6DC"/>
    <w:rsid w:val="7C1F4624"/>
    <w:rsid w:val="7C3E9CA7"/>
    <w:rsid w:val="7C5E6111"/>
    <w:rsid w:val="7C5EC2F2"/>
    <w:rsid w:val="7C7F2EC5"/>
    <w:rsid w:val="7C7F79B8"/>
    <w:rsid w:val="7CB1D82A"/>
    <w:rsid w:val="7CBF6A38"/>
    <w:rsid w:val="7CBF73B2"/>
    <w:rsid w:val="7CD95131"/>
    <w:rsid w:val="7CDD0762"/>
    <w:rsid w:val="7CEF934D"/>
    <w:rsid w:val="7CF5E374"/>
    <w:rsid w:val="7CF7D253"/>
    <w:rsid w:val="7CFB53E0"/>
    <w:rsid w:val="7CFF4FF7"/>
    <w:rsid w:val="7CFFBE6D"/>
    <w:rsid w:val="7CFFD829"/>
    <w:rsid w:val="7CFFE915"/>
    <w:rsid w:val="7D2EBAEC"/>
    <w:rsid w:val="7D375B72"/>
    <w:rsid w:val="7D5FA295"/>
    <w:rsid w:val="7D62C2F1"/>
    <w:rsid w:val="7D66E095"/>
    <w:rsid w:val="7D6A3052"/>
    <w:rsid w:val="7D6F2C0E"/>
    <w:rsid w:val="7D6F77C4"/>
    <w:rsid w:val="7D73913D"/>
    <w:rsid w:val="7D797DFD"/>
    <w:rsid w:val="7D7BC902"/>
    <w:rsid w:val="7D7E03B1"/>
    <w:rsid w:val="7D7F3020"/>
    <w:rsid w:val="7D9B6F94"/>
    <w:rsid w:val="7DAFE6D1"/>
    <w:rsid w:val="7DB59C54"/>
    <w:rsid w:val="7DB788C4"/>
    <w:rsid w:val="7DB9DB59"/>
    <w:rsid w:val="7DBB7F63"/>
    <w:rsid w:val="7DBBD842"/>
    <w:rsid w:val="7DBED259"/>
    <w:rsid w:val="7DBF80FA"/>
    <w:rsid w:val="7DBFC4DB"/>
    <w:rsid w:val="7DCF8D63"/>
    <w:rsid w:val="7DDBF51F"/>
    <w:rsid w:val="7DDC5F05"/>
    <w:rsid w:val="7DDD5DEF"/>
    <w:rsid w:val="7DDE5312"/>
    <w:rsid w:val="7DE74338"/>
    <w:rsid w:val="7DEB4EBD"/>
    <w:rsid w:val="7DF532AB"/>
    <w:rsid w:val="7DF649FF"/>
    <w:rsid w:val="7DF74191"/>
    <w:rsid w:val="7DF751E4"/>
    <w:rsid w:val="7DF7E615"/>
    <w:rsid w:val="7DFA016F"/>
    <w:rsid w:val="7DFBBB22"/>
    <w:rsid w:val="7DFC4503"/>
    <w:rsid w:val="7DFF37D0"/>
    <w:rsid w:val="7DFF4342"/>
    <w:rsid w:val="7DFF504C"/>
    <w:rsid w:val="7DFF5B28"/>
    <w:rsid w:val="7E0DD84E"/>
    <w:rsid w:val="7E192908"/>
    <w:rsid w:val="7E2D615A"/>
    <w:rsid w:val="7E310A1D"/>
    <w:rsid w:val="7E396D9A"/>
    <w:rsid w:val="7E5DA464"/>
    <w:rsid w:val="7E5FD748"/>
    <w:rsid w:val="7E65F7A4"/>
    <w:rsid w:val="7E6EA569"/>
    <w:rsid w:val="7E70C345"/>
    <w:rsid w:val="7E797E3C"/>
    <w:rsid w:val="7E799A5F"/>
    <w:rsid w:val="7E7B19B2"/>
    <w:rsid w:val="7E7F00B3"/>
    <w:rsid w:val="7E7FCA05"/>
    <w:rsid w:val="7E97F9FA"/>
    <w:rsid w:val="7E9C3EFC"/>
    <w:rsid w:val="7E9DDE6C"/>
    <w:rsid w:val="7E9F912F"/>
    <w:rsid w:val="7EA249C9"/>
    <w:rsid w:val="7EAAA027"/>
    <w:rsid w:val="7EAF29A7"/>
    <w:rsid w:val="7EB709F4"/>
    <w:rsid w:val="7EBB9999"/>
    <w:rsid w:val="7EBE0081"/>
    <w:rsid w:val="7EBF2681"/>
    <w:rsid w:val="7EBFFCB5"/>
    <w:rsid w:val="7EBFFD00"/>
    <w:rsid w:val="7ED740E4"/>
    <w:rsid w:val="7EDF6260"/>
    <w:rsid w:val="7EDF6D15"/>
    <w:rsid w:val="7EDF731B"/>
    <w:rsid w:val="7EE44349"/>
    <w:rsid w:val="7EE7453D"/>
    <w:rsid w:val="7EEC2A5B"/>
    <w:rsid w:val="7EED1DA6"/>
    <w:rsid w:val="7EEF03E0"/>
    <w:rsid w:val="7EEF2E19"/>
    <w:rsid w:val="7EEFC456"/>
    <w:rsid w:val="7EEFD91F"/>
    <w:rsid w:val="7EF3BA49"/>
    <w:rsid w:val="7EFB8B71"/>
    <w:rsid w:val="7EFB9300"/>
    <w:rsid w:val="7EFE3AFF"/>
    <w:rsid w:val="7EFEA845"/>
    <w:rsid w:val="7EFF0430"/>
    <w:rsid w:val="7EFF25AB"/>
    <w:rsid w:val="7EFF3864"/>
    <w:rsid w:val="7EFF3B27"/>
    <w:rsid w:val="7EFF5703"/>
    <w:rsid w:val="7EFF82E0"/>
    <w:rsid w:val="7EFF8DAF"/>
    <w:rsid w:val="7EFFA59F"/>
    <w:rsid w:val="7F0E82BE"/>
    <w:rsid w:val="7F2B99C2"/>
    <w:rsid w:val="7F2BB76C"/>
    <w:rsid w:val="7F2C0429"/>
    <w:rsid w:val="7F2F6578"/>
    <w:rsid w:val="7F2FA915"/>
    <w:rsid w:val="7F38A80F"/>
    <w:rsid w:val="7F3F548A"/>
    <w:rsid w:val="7F3FD5E6"/>
    <w:rsid w:val="7F3FFDE7"/>
    <w:rsid w:val="7F4707C7"/>
    <w:rsid w:val="7F5697FA"/>
    <w:rsid w:val="7F59DA80"/>
    <w:rsid w:val="7F5B1677"/>
    <w:rsid w:val="7F5BB146"/>
    <w:rsid w:val="7F5BCE8A"/>
    <w:rsid w:val="7F5DB734"/>
    <w:rsid w:val="7F5F5FC9"/>
    <w:rsid w:val="7F5FB9F7"/>
    <w:rsid w:val="7F624A9A"/>
    <w:rsid w:val="7F6E542E"/>
    <w:rsid w:val="7F6F02FF"/>
    <w:rsid w:val="7F6F9FBC"/>
    <w:rsid w:val="7F6FB447"/>
    <w:rsid w:val="7F6FBF5F"/>
    <w:rsid w:val="7F73C3B5"/>
    <w:rsid w:val="7F770526"/>
    <w:rsid w:val="7F79332E"/>
    <w:rsid w:val="7F7BF8F7"/>
    <w:rsid w:val="7F7D9511"/>
    <w:rsid w:val="7F7EA747"/>
    <w:rsid w:val="7F7F14FE"/>
    <w:rsid w:val="7F7F4FCC"/>
    <w:rsid w:val="7F7F5526"/>
    <w:rsid w:val="7F7F6A7C"/>
    <w:rsid w:val="7F7F8D85"/>
    <w:rsid w:val="7F7F91CD"/>
    <w:rsid w:val="7F7FB871"/>
    <w:rsid w:val="7F7FFBA3"/>
    <w:rsid w:val="7F8A751C"/>
    <w:rsid w:val="7F979BD7"/>
    <w:rsid w:val="7F97F32F"/>
    <w:rsid w:val="7F9AF3B9"/>
    <w:rsid w:val="7F9B16DB"/>
    <w:rsid w:val="7F9F1CF4"/>
    <w:rsid w:val="7F9FD3A0"/>
    <w:rsid w:val="7FA5AFDF"/>
    <w:rsid w:val="7FA728E7"/>
    <w:rsid w:val="7FA9392C"/>
    <w:rsid w:val="7FAD91C0"/>
    <w:rsid w:val="7FAF02A2"/>
    <w:rsid w:val="7FAF9782"/>
    <w:rsid w:val="7FAFCCB6"/>
    <w:rsid w:val="7FAFE509"/>
    <w:rsid w:val="7FB30154"/>
    <w:rsid w:val="7FBB74B3"/>
    <w:rsid w:val="7FBB8371"/>
    <w:rsid w:val="7FBC8DDA"/>
    <w:rsid w:val="7FBEBD0D"/>
    <w:rsid w:val="7FBF26D4"/>
    <w:rsid w:val="7FBF9129"/>
    <w:rsid w:val="7FC93252"/>
    <w:rsid w:val="7FC93D29"/>
    <w:rsid w:val="7FCFC569"/>
    <w:rsid w:val="7FD4598E"/>
    <w:rsid w:val="7FD5EEE7"/>
    <w:rsid w:val="7FD66913"/>
    <w:rsid w:val="7FD6CA5A"/>
    <w:rsid w:val="7FD70929"/>
    <w:rsid w:val="7FDB237E"/>
    <w:rsid w:val="7FDB50E1"/>
    <w:rsid w:val="7FDC12EE"/>
    <w:rsid w:val="7FDEA711"/>
    <w:rsid w:val="7FDF4666"/>
    <w:rsid w:val="7FDF6464"/>
    <w:rsid w:val="7FDF7E43"/>
    <w:rsid w:val="7FDF9ACF"/>
    <w:rsid w:val="7FDFAA58"/>
    <w:rsid w:val="7FDFB7A8"/>
    <w:rsid w:val="7FDFBF20"/>
    <w:rsid w:val="7FE3C819"/>
    <w:rsid w:val="7FE517CF"/>
    <w:rsid w:val="7FE53F9C"/>
    <w:rsid w:val="7FE7003A"/>
    <w:rsid w:val="7FE7A339"/>
    <w:rsid w:val="7FE8FDD6"/>
    <w:rsid w:val="7FE984F9"/>
    <w:rsid w:val="7FEA69E5"/>
    <w:rsid w:val="7FEB4CFC"/>
    <w:rsid w:val="7FED3068"/>
    <w:rsid w:val="7FEE772D"/>
    <w:rsid w:val="7FEEA7D8"/>
    <w:rsid w:val="7FEECD7D"/>
    <w:rsid w:val="7FEF4DDC"/>
    <w:rsid w:val="7FEF4FE5"/>
    <w:rsid w:val="7FEF9096"/>
    <w:rsid w:val="7FEF9425"/>
    <w:rsid w:val="7FEF9818"/>
    <w:rsid w:val="7FEFEEB6"/>
    <w:rsid w:val="7FF39AF6"/>
    <w:rsid w:val="7FF3B33F"/>
    <w:rsid w:val="7FF3F8BE"/>
    <w:rsid w:val="7FF5E228"/>
    <w:rsid w:val="7FF77C6A"/>
    <w:rsid w:val="7FF7B5D9"/>
    <w:rsid w:val="7FF7BA90"/>
    <w:rsid w:val="7FF7EDC6"/>
    <w:rsid w:val="7FF8D03B"/>
    <w:rsid w:val="7FF95603"/>
    <w:rsid w:val="7FF991F9"/>
    <w:rsid w:val="7FFB19A5"/>
    <w:rsid w:val="7FFB2442"/>
    <w:rsid w:val="7FFB777D"/>
    <w:rsid w:val="7FFB8120"/>
    <w:rsid w:val="7FFB8EF2"/>
    <w:rsid w:val="7FFBC925"/>
    <w:rsid w:val="7FFBF553"/>
    <w:rsid w:val="7FFC5F8D"/>
    <w:rsid w:val="7FFD15C9"/>
    <w:rsid w:val="7FFD2A75"/>
    <w:rsid w:val="7FFD337D"/>
    <w:rsid w:val="7FFD4FD7"/>
    <w:rsid w:val="7FFDC72B"/>
    <w:rsid w:val="7FFDDDA0"/>
    <w:rsid w:val="7FFDE224"/>
    <w:rsid w:val="7FFE08C4"/>
    <w:rsid w:val="7FFE1F66"/>
    <w:rsid w:val="7FFE3F99"/>
    <w:rsid w:val="7FFE8FB3"/>
    <w:rsid w:val="7FFE9173"/>
    <w:rsid w:val="7FFEA077"/>
    <w:rsid w:val="7FFF02F9"/>
    <w:rsid w:val="7FFF12D4"/>
    <w:rsid w:val="7FFF1357"/>
    <w:rsid w:val="7FFF2628"/>
    <w:rsid w:val="7FFF3F87"/>
    <w:rsid w:val="7FFF4C24"/>
    <w:rsid w:val="7FFF53BB"/>
    <w:rsid w:val="7FFF6BE2"/>
    <w:rsid w:val="7FFF72A1"/>
    <w:rsid w:val="7FFF7AEC"/>
    <w:rsid w:val="7FFF8A7C"/>
    <w:rsid w:val="7FFF9179"/>
    <w:rsid w:val="7FFF9935"/>
    <w:rsid w:val="7FFFA7C5"/>
    <w:rsid w:val="7FFFB37E"/>
    <w:rsid w:val="7FFFB709"/>
    <w:rsid w:val="7FFFCD65"/>
    <w:rsid w:val="7FFFD04F"/>
    <w:rsid w:val="7FFFD3B2"/>
    <w:rsid w:val="80F36A21"/>
    <w:rsid w:val="83AF6A24"/>
    <w:rsid w:val="847A2F95"/>
    <w:rsid w:val="85EFC44A"/>
    <w:rsid w:val="8AFFC9A5"/>
    <w:rsid w:val="8BAF9251"/>
    <w:rsid w:val="8BEB5946"/>
    <w:rsid w:val="8BED40D0"/>
    <w:rsid w:val="8C736131"/>
    <w:rsid w:val="8CBF9CD8"/>
    <w:rsid w:val="8DFE6DC2"/>
    <w:rsid w:val="8EFF6FE4"/>
    <w:rsid w:val="8F7FB903"/>
    <w:rsid w:val="8FBA84DF"/>
    <w:rsid w:val="8FEF986A"/>
    <w:rsid w:val="8FF28BAD"/>
    <w:rsid w:val="8FF42147"/>
    <w:rsid w:val="8FFF0C8A"/>
    <w:rsid w:val="93557F37"/>
    <w:rsid w:val="93EF3244"/>
    <w:rsid w:val="93F9E0C7"/>
    <w:rsid w:val="94FECAD3"/>
    <w:rsid w:val="955726AE"/>
    <w:rsid w:val="957D7708"/>
    <w:rsid w:val="977D63B5"/>
    <w:rsid w:val="97954A8A"/>
    <w:rsid w:val="97A82C8B"/>
    <w:rsid w:val="97AE1C5C"/>
    <w:rsid w:val="97F74A75"/>
    <w:rsid w:val="97FDFDBB"/>
    <w:rsid w:val="98FB3627"/>
    <w:rsid w:val="99F7BBA8"/>
    <w:rsid w:val="99FFF4D3"/>
    <w:rsid w:val="9AEFEEC5"/>
    <w:rsid w:val="9B7F7128"/>
    <w:rsid w:val="9BBCEC71"/>
    <w:rsid w:val="9BDFB27F"/>
    <w:rsid w:val="9BF32541"/>
    <w:rsid w:val="9BFB2331"/>
    <w:rsid w:val="9BFEA621"/>
    <w:rsid w:val="9D3FFFB7"/>
    <w:rsid w:val="9DDEB1E3"/>
    <w:rsid w:val="9DEEF120"/>
    <w:rsid w:val="9DFDA057"/>
    <w:rsid w:val="9DFDDFF6"/>
    <w:rsid w:val="9DFE3EC1"/>
    <w:rsid w:val="9E26EC54"/>
    <w:rsid w:val="9E6F7D76"/>
    <w:rsid w:val="9E754DED"/>
    <w:rsid w:val="9E7F011C"/>
    <w:rsid w:val="9EA56F5F"/>
    <w:rsid w:val="9EBD4756"/>
    <w:rsid w:val="9EEFBE5E"/>
    <w:rsid w:val="9EFD17E0"/>
    <w:rsid w:val="9F3F27E9"/>
    <w:rsid w:val="9F6C5311"/>
    <w:rsid w:val="9F7D292E"/>
    <w:rsid w:val="9F898820"/>
    <w:rsid w:val="9FB78BF0"/>
    <w:rsid w:val="9FBA5136"/>
    <w:rsid w:val="9FBFDAF6"/>
    <w:rsid w:val="9FDA38DE"/>
    <w:rsid w:val="9FDD5461"/>
    <w:rsid w:val="9FDD847D"/>
    <w:rsid w:val="9FE527F9"/>
    <w:rsid w:val="9FE70F45"/>
    <w:rsid w:val="9FEAA751"/>
    <w:rsid w:val="9FEF6FA7"/>
    <w:rsid w:val="9FF4DE5B"/>
    <w:rsid w:val="9FFDE35F"/>
    <w:rsid w:val="9FFF64AC"/>
    <w:rsid w:val="9FFF69F0"/>
    <w:rsid w:val="A37E13C9"/>
    <w:rsid w:val="A38EA27D"/>
    <w:rsid w:val="A3BF2678"/>
    <w:rsid w:val="A4A96320"/>
    <w:rsid w:val="A4BC2F3C"/>
    <w:rsid w:val="A5ED8DBA"/>
    <w:rsid w:val="A5F55771"/>
    <w:rsid w:val="A5F793BC"/>
    <w:rsid w:val="A76BFD34"/>
    <w:rsid w:val="A77768E1"/>
    <w:rsid w:val="A77E614A"/>
    <w:rsid w:val="A7BC658E"/>
    <w:rsid w:val="A7D33D42"/>
    <w:rsid w:val="A7DF62F9"/>
    <w:rsid w:val="A9EFCC62"/>
    <w:rsid w:val="A9F1E6D4"/>
    <w:rsid w:val="AA9E5689"/>
    <w:rsid w:val="AB393B6E"/>
    <w:rsid w:val="ABB78BAF"/>
    <w:rsid w:val="ABCC7D6B"/>
    <w:rsid w:val="ABD7861E"/>
    <w:rsid w:val="ABEB1D6C"/>
    <w:rsid w:val="ABEFAE71"/>
    <w:rsid w:val="ABFB9AC7"/>
    <w:rsid w:val="ABFFDD0B"/>
    <w:rsid w:val="ACDD3F9C"/>
    <w:rsid w:val="ACF4A75F"/>
    <w:rsid w:val="AD9B5C1D"/>
    <w:rsid w:val="ADCB2465"/>
    <w:rsid w:val="ADD70CEC"/>
    <w:rsid w:val="ADDF062A"/>
    <w:rsid w:val="ADE79A5E"/>
    <w:rsid w:val="ADEC8E82"/>
    <w:rsid w:val="ADEF8FFE"/>
    <w:rsid w:val="ADF70FA8"/>
    <w:rsid w:val="ADFB8A2C"/>
    <w:rsid w:val="AECF68AE"/>
    <w:rsid w:val="AF360898"/>
    <w:rsid w:val="AF37E1F8"/>
    <w:rsid w:val="AF5DB2A3"/>
    <w:rsid w:val="AF7C7586"/>
    <w:rsid w:val="AF7D9740"/>
    <w:rsid w:val="AFB63F87"/>
    <w:rsid w:val="AFB73512"/>
    <w:rsid w:val="AFBB862F"/>
    <w:rsid w:val="AFBF9071"/>
    <w:rsid w:val="AFD7E1B5"/>
    <w:rsid w:val="AFDC7F91"/>
    <w:rsid w:val="AFE795C9"/>
    <w:rsid w:val="AFEF9A4E"/>
    <w:rsid w:val="AFF3B23A"/>
    <w:rsid w:val="AFF45BCD"/>
    <w:rsid w:val="AFF58B20"/>
    <w:rsid w:val="AFFBB606"/>
    <w:rsid w:val="AFFD01DE"/>
    <w:rsid w:val="AFFD51CF"/>
    <w:rsid w:val="AFFDE9EF"/>
    <w:rsid w:val="AFFF4F18"/>
    <w:rsid w:val="AFFFC128"/>
    <w:rsid w:val="AFFFDCC1"/>
    <w:rsid w:val="B17FF06A"/>
    <w:rsid w:val="B1BFEE63"/>
    <w:rsid w:val="B1D381DD"/>
    <w:rsid w:val="B1DFE361"/>
    <w:rsid w:val="B1FEF3F6"/>
    <w:rsid w:val="B21D0056"/>
    <w:rsid w:val="B2FF49DE"/>
    <w:rsid w:val="B333687E"/>
    <w:rsid w:val="B34F6287"/>
    <w:rsid w:val="B3E64E43"/>
    <w:rsid w:val="B3E701A4"/>
    <w:rsid w:val="B3EB13CB"/>
    <w:rsid w:val="B3FAB20B"/>
    <w:rsid w:val="B5B705E5"/>
    <w:rsid w:val="B5DB83E9"/>
    <w:rsid w:val="B5E9BF9E"/>
    <w:rsid w:val="B69F61D4"/>
    <w:rsid w:val="B6B7236A"/>
    <w:rsid w:val="B6BF5CA8"/>
    <w:rsid w:val="B6DF5701"/>
    <w:rsid w:val="B6F70C29"/>
    <w:rsid w:val="B6FAB89E"/>
    <w:rsid w:val="B6FD0E82"/>
    <w:rsid w:val="B6FFC03D"/>
    <w:rsid w:val="B76FD43D"/>
    <w:rsid w:val="B77CB18F"/>
    <w:rsid w:val="B7854E8C"/>
    <w:rsid w:val="B79A2E30"/>
    <w:rsid w:val="B7DBE82B"/>
    <w:rsid w:val="B7DF5A56"/>
    <w:rsid w:val="B7DFD3A0"/>
    <w:rsid w:val="B7E86357"/>
    <w:rsid w:val="B7EDDC9C"/>
    <w:rsid w:val="B7EF011A"/>
    <w:rsid w:val="B7F65CB1"/>
    <w:rsid w:val="B7F7F93E"/>
    <w:rsid w:val="B7FE6A2B"/>
    <w:rsid w:val="B7FF516C"/>
    <w:rsid w:val="B7FF5740"/>
    <w:rsid w:val="B97C3D4B"/>
    <w:rsid w:val="B98F4C61"/>
    <w:rsid w:val="B9C72F73"/>
    <w:rsid w:val="B9FE164D"/>
    <w:rsid w:val="BA9EC767"/>
    <w:rsid w:val="BACFBC44"/>
    <w:rsid w:val="BB572F2D"/>
    <w:rsid w:val="BB753798"/>
    <w:rsid w:val="BBA90FFC"/>
    <w:rsid w:val="BBADE32A"/>
    <w:rsid w:val="BBBAED7D"/>
    <w:rsid w:val="BBBE61AA"/>
    <w:rsid w:val="BBBF4C5F"/>
    <w:rsid w:val="BBC5BFE4"/>
    <w:rsid w:val="BBD71541"/>
    <w:rsid w:val="BBDB277B"/>
    <w:rsid w:val="BBDBF228"/>
    <w:rsid w:val="BBDC4CA1"/>
    <w:rsid w:val="BBFB8144"/>
    <w:rsid w:val="BBFCBBA7"/>
    <w:rsid w:val="BBFF0968"/>
    <w:rsid w:val="BBFF2565"/>
    <w:rsid w:val="BBFFDDE5"/>
    <w:rsid w:val="BC3EC3C3"/>
    <w:rsid w:val="BC7DDD00"/>
    <w:rsid w:val="BCF30592"/>
    <w:rsid w:val="BCFA9156"/>
    <w:rsid w:val="BD7D9D1E"/>
    <w:rsid w:val="BDA5790E"/>
    <w:rsid w:val="BDA691ED"/>
    <w:rsid w:val="BDAF93F5"/>
    <w:rsid w:val="BDB2F9E4"/>
    <w:rsid w:val="BDBA2E42"/>
    <w:rsid w:val="BDBFFF38"/>
    <w:rsid w:val="BDC6DAC2"/>
    <w:rsid w:val="BDDBEE4B"/>
    <w:rsid w:val="BDDC6DEA"/>
    <w:rsid w:val="BDDF180B"/>
    <w:rsid w:val="BDE5500B"/>
    <w:rsid w:val="BDE65299"/>
    <w:rsid w:val="BDE88591"/>
    <w:rsid w:val="BDF10FFB"/>
    <w:rsid w:val="BDF7E2BB"/>
    <w:rsid w:val="BDF7F035"/>
    <w:rsid w:val="BDFDFD03"/>
    <w:rsid w:val="BDFEFC2E"/>
    <w:rsid w:val="BDFF6F16"/>
    <w:rsid w:val="BDFF97BD"/>
    <w:rsid w:val="BE031714"/>
    <w:rsid w:val="BE2961F6"/>
    <w:rsid w:val="BE2FD64B"/>
    <w:rsid w:val="BE5F76AC"/>
    <w:rsid w:val="BE6F7506"/>
    <w:rsid w:val="BE7D2CF5"/>
    <w:rsid w:val="BE7F8176"/>
    <w:rsid w:val="BE97C87E"/>
    <w:rsid w:val="BEA604ED"/>
    <w:rsid w:val="BEB304C1"/>
    <w:rsid w:val="BEBD7A2A"/>
    <w:rsid w:val="BEC21C8F"/>
    <w:rsid w:val="BEDDCCDC"/>
    <w:rsid w:val="BEDDF488"/>
    <w:rsid w:val="BEDEAD2F"/>
    <w:rsid w:val="BEE24444"/>
    <w:rsid w:val="BEED8934"/>
    <w:rsid w:val="BEEFCF3A"/>
    <w:rsid w:val="BEEFF0CD"/>
    <w:rsid w:val="BEF6F902"/>
    <w:rsid w:val="BEF9CAE5"/>
    <w:rsid w:val="BEFB6661"/>
    <w:rsid w:val="BEFDD602"/>
    <w:rsid w:val="BEFE75E3"/>
    <w:rsid w:val="BEFF6BA6"/>
    <w:rsid w:val="BEFF780D"/>
    <w:rsid w:val="BEFF8FAB"/>
    <w:rsid w:val="BEFFE29E"/>
    <w:rsid w:val="BF1FAD22"/>
    <w:rsid w:val="BF35CF18"/>
    <w:rsid w:val="BF3A04B9"/>
    <w:rsid w:val="BF3FA21A"/>
    <w:rsid w:val="BF3FC103"/>
    <w:rsid w:val="BF5EB840"/>
    <w:rsid w:val="BF6768ED"/>
    <w:rsid w:val="BF6F13BC"/>
    <w:rsid w:val="BF6FF448"/>
    <w:rsid w:val="BF72D1F1"/>
    <w:rsid w:val="BF75CC56"/>
    <w:rsid w:val="BF77C1D5"/>
    <w:rsid w:val="BF7F464A"/>
    <w:rsid w:val="BF7F8A75"/>
    <w:rsid w:val="BF7FB0B2"/>
    <w:rsid w:val="BF8E64AC"/>
    <w:rsid w:val="BFA7CC1C"/>
    <w:rsid w:val="BFB668F1"/>
    <w:rsid w:val="BFB7CFDD"/>
    <w:rsid w:val="BFB9C413"/>
    <w:rsid w:val="BFBA86F8"/>
    <w:rsid w:val="BFBC87BC"/>
    <w:rsid w:val="BFBD6856"/>
    <w:rsid w:val="BFBEA909"/>
    <w:rsid w:val="BFBF3812"/>
    <w:rsid w:val="BFBF4913"/>
    <w:rsid w:val="BFC4E75B"/>
    <w:rsid w:val="BFC9616B"/>
    <w:rsid w:val="BFCF4E03"/>
    <w:rsid w:val="BFDB3C8A"/>
    <w:rsid w:val="BFDDC396"/>
    <w:rsid w:val="BFDED6B5"/>
    <w:rsid w:val="BFDED7D6"/>
    <w:rsid w:val="BFE11027"/>
    <w:rsid w:val="BFE6DB78"/>
    <w:rsid w:val="BFE76430"/>
    <w:rsid w:val="BFEB48EE"/>
    <w:rsid w:val="BFEFD884"/>
    <w:rsid w:val="BFF4D8C0"/>
    <w:rsid w:val="BFF68F31"/>
    <w:rsid w:val="BFF70D0A"/>
    <w:rsid w:val="BFF7122E"/>
    <w:rsid w:val="BFF74DDB"/>
    <w:rsid w:val="BFF78BC3"/>
    <w:rsid w:val="BFFB3EE5"/>
    <w:rsid w:val="BFFD45B6"/>
    <w:rsid w:val="BFFD6D5A"/>
    <w:rsid w:val="BFFDA20A"/>
    <w:rsid w:val="BFFDA6BF"/>
    <w:rsid w:val="BFFDC263"/>
    <w:rsid w:val="BFFEC8EF"/>
    <w:rsid w:val="BFFF1779"/>
    <w:rsid w:val="BFFFB941"/>
    <w:rsid w:val="C1D516FE"/>
    <w:rsid w:val="C1FA26CF"/>
    <w:rsid w:val="C39C8724"/>
    <w:rsid w:val="C5DFDBB5"/>
    <w:rsid w:val="C6D79AED"/>
    <w:rsid w:val="C7AFCCBF"/>
    <w:rsid w:val="C7FD3218"/>
    <w:rsid w:val="C7FE3F3C"/>
    <w:rsid w:val="C8FFFF83"/>
    <w:rsid w:val="C9B80783"/>
    <w:rsid w:val="CA9541ED"/>
    <w:rsid w:val="CAFDECEC"/>
    <w:rsid w:val="CB7FB321"/>
    <w:rsid w:val="CBABE224"/>
    <w:rsid w:val="CBBFD593"/>
    <w:rsid w:val="CBCE1A12"/>
    <w:rsid w:val="CBF7FFF3"/>
    <w:rsid w:val="CBFF5100"/>
    <w:rsid w:val="CBFFA4D0"/>
    <w:rsid w:val="CD62D6D0"/>
    <w:rsid w:val="CD7BCD18"/>
    <w:rsid w:val="CDBF5B68"/>
    <w:rsid w:val="CDECD975"/>
    <w:rsid w:val="CDF54C38"/>
    <w:rsid w:val="CDFE47DC"/>
    <w:rsid w:val="CDFFA1CE"/>
    <w:rsid w:val="CE5EC728"/>
    <w:rsid w:val="CE7B3A32"/>
    <w:rsid w:val="CEAFF391"/>
    <w:rsid w:val="CEB37F85"/>
    <w:rsid w:val="CEB74DA9"/>
    <w:rsid w:val="CEDB2505"/>
    <w:rsid w:val="CEDF2566"/>
    <w:rsid w:val="CEEF281B"/>
    <w:rsid w:val="CEEF9FF6"/>
    <w:rsid w:val="CEFEEC1D"/>
    <w:rsid w:val="CF6F76E2"/>
    <w:rsid w:val="CF754DC0"/>
    <w:rsid w:val="CF7B7BA3"/>
    <w:rsid w:val="CF7B93B0"/>
    <w:rsid w:val="CF9B6045"/>
    <w:rsid w:val="CF9FDDD4"/>
    <w:rsid w:val="CFA4018D"/>
    <w:rsid w:val="CFAA0452"/>
    <w:rsid w:val="CFBE56DA"/>
    <w:rsid w:val="CFBF0BA9"/>
    <w:rsid w:val="CFDF150B"/>
    <w:rsid w:val="CFDF688C"/>
    <w:rsid w:val="CFED7196"/>
    <w:rsid w:val="CFF3E703"/>
    <w:rsid w:val="CFF79832"/>
    <w:rsid w:val="CFFC05AA"/>
    <w:rsid w:val="CFFE23E4"/>
    <w:rsid w:val="CFFF26D0"/>
    <w:rsid w:val="CFFF3BDD"/>
    <w:rsid w:val="D0FF6BC9"/>
    <w:rsid w:val="D1F7654F"/>
    <w:rsid w:val="D1F77E0E"/>
    <w:rsid w:val="D1FF1F8B"/>
    <w:rsid w:val="D2AB7EDA"/>
    <w:rsid w:val="D2F3480E"/>
    <w:rsid w:val="D2FF3582"/>
    <w:rsid w:val="D3772DBA"/>
    <w:rsid w:val="D3BF7320"/>
    <w:rsid w:val="D3DFA634"/>
    <w:rsid w:val="D3FF3D8D"/>
    <w:rsid w:val="D44F90C4"/>
    <w:rsid w:val="D4FE29B1"/>
    <w:rsid w:val="D5D28B17"/>
    <w:rsid w:val="D5D7A94B"/>
    <w:rsid w:val="D5DBD546"/>
    <w:rsid w:val="D5F26FB9"/>
    <w:rsid w:val="D5FC369C"/>
    <w:rsid w:val="D5FD3BF1"/>
    <w:rsid w:val="D67DB42E"/>
    <w:rsid w:val="D67E628A"/>
    <w:rsid w:val="D6CDC561"/>
    <w:rsid w:val="D6F79677"/>
    <w:rsid w:val="D6FCFA7B"/>
    <w:rsid w:val="D757FC29"/>
    <w:rsid w:val="D75D3623"/>
    <w:rsid w:val="D75DD984"/>
    <w:rsid w:val="D75F5107"/>
    <w:rsid w:val="D76E36D9"/>
    <w:rsid w:val="D77566CB"/>
    <w:rsid w:val="D77B5B5F"/>
    <w:rsid w:val="D79F8148"/>
    <w:rsid w:val="D7B61D24"/>
    <w:rsid w:val="D7BF3360"/>
    <w:rsid w:val="D7BF9DCC"/>
    <w:rsid w:val="D7DB6357"/>
    <w:rsid w:val="D7ED3A95"/>
    <w:rsid w:val="D7EDBFD9"/>
    <w:rsid w:val="D7EFD9CE"/>
    <w:rsid w:val="D7F10A6D"/>
    <w:rsid w:val="D7F7422F"/>
    <w:rsid w:val="D7FB23C1"/>
    <w:rsid w:val="D7FBA380"/>
    <w:rsid w:val="D7FEEB5E"/>
    <w:rsid w:val="D7FF111B"/>
    <w:rsid w:val="D7FFCC51"/>
    <w:rsid w:val="D7FFDB91"/>
    <w:rsid w:val="D7FFE3AE"/>
    <w:rsid w:val="D85BE8D2"/>
    <w:rsid w:val="D8AEDF9D"/>
    <w:rsid w:val="D8BFB05B"/>
    <w:rsid w:val="D9745CAE"/>
    <w:rsid w:val="D99F1F3B"/>
    <w:rsid w:val="D9FD85A0"/>
    <w:rsid w:val="D9FF4C17"/>
    <w:rsid w:val="DA3F6FD1"/>
    <w:rsid w:val="DA7DE910"/>
    <w:rsid w:val="DAC786FA"/>
    <w:rsid w:val="DAD66641"/>
    <w:rsid w:val="DAE5316A"/>
    <w:rsid w:val="DAEF53CF"/>
    <w:rsid w:val="DB13517E"/>
    <w:rsid w:val="DB6245EA"/>
    <w:rsid w:val="DB6F6D38"/>
    <w:rsid w:val="DB768FE8"/>
    <w:rsid w:val="DB76E0AF"/>
    <w:rsid w:val="DB7DF88A"/>
    <w:rsid w:val="DB8976C7"/>
    <w:rsid w:val="DBAF3968"/>
    <w:rsid w:val="DBB7B015"/>
    <w:rsid w:val="DBB7F21C"/>
    <w:rsid w:val="DBD406B6"/>
    <w:rsid w:val="DBDF315A"/>
    <w:rsid w:val="DBEDC777"/>
    <w:rsid w:val="DBEEBA9F"/>
    <w:rsid w:val="DBF76A85"/>
    <w:rsid w:val="DBF7D73D"/>
    <w:rsid w:val="DBFBB60F"/>
    <w:rsid w:val="DBFF03E5"/>
    <w:rsid w:val="DCE422CB"/>
    <w:rsid w:val="DCFC4160"/>
    <w:rsid w:val="DD6FF11A"/>
    <w:rsid w:val="DD877AD3"/>
    <w:rsid w:val="DDB354F5"/>
    <w:rsid w:val="DDCC2256"/>
    <w:rsid w:val="DDDFA681"/>
    <w:rsid w:val="DDE352A9"/>
    <w:rsid w:val="DDE7BF06"/>
    <w:rsid w:val="DDEB2758"/>
    <w:rsid w:val="DDF6C4C2"/>
    <w:rsid w:val="DDFC4FF9"/>
    <w:rsid w:val="DDFD669F"/>
    <w:rsid w:val="DDFD771B"/>
    <w:rsid w:val="DDFD8B16"/>
    <w:rsid w:val="DDFE5F24"/>
    <w:rsid w:val="DDFEF0AD"/>
    <w:rsid w:val="DDFFB010"/>
    <w:rsid w:val="DDFFD5CC"/>
    <w:rsid w:val="DE3F3AB2"/>
    <w:rsid w:val="DE3F46C5"/>
    <w:rsid w:val="DE6C0215"/>
    <w:rsid w:val="DE6FC47F"/>
    <w:rsid w:val="DE754D30"/>
    <w:rsid w:val="DE78E795"/>
    <w:rsid w:val="DE794F68"/>
    <w:rsid w:val="DE7E821A"/>
    <w:rsid w:val="DE8F62E5"/>
    <w:rsid w:val="DEAE69ED"/>
    <w:rsid w:val="DEB5A7B4"/>
    <w:rsid w:val="DEB73967"/>
    <w:rsid w:val="DEDE465A"/>
    <w:rsid w:val="DEDFD67E"/>
    <w:rsid w:val="DEE1947B"/>
    <w:rsid w:val="DEE73EA3"/>
    <w:rsid w:val="DEF22A5C"/>
    <w:rsid w:val="DEF9BEF9"/>
    <w:rsid w:val="DEFBAA55"/>
    <w:rsid w:val="DEFBD361"/>
    <w:rsid w:val="DEFDFD2A"/>
    <w:rsid w:val="DEFF5054"/>
    <w:rsid w:val="DEFFA7AA"/>
    <w:rsid w:val="DEFFFD53"/>
    <w:rsid w:val="DF2E46D4"/>
    <w:rsid w:val="DF2F372C"/>
    <w:rsid w:val="DF359313"/>
    <w:rsid w:val="DF3B6EDD"/>
    <w:rsid w:val="DF4C2220"/>
    <w:rsid w:val="DF4FB637"/>
    <w:rsid w:val="DF5EC94A"/>
    <w:rsid w:val="DF69F086"/>
    <w:rsid w:val="DF72F3E9"/>
    <w:rsid w:val="DF778C45"/>
    <w:rsid w:val="DF79E1E7"/>
    <w:rsid w:val="DF7CA2C9"/>
    <w:rsid w:val="DF7DE299"/>
    <w:rsid w:val="DF7ED5BF"/>
    <w:rsid w:val="DF7EE55F"/>
    <w:rsid w:val="DF7F5E25"/>
    <w:rsid w:val="DF7FA8EF"/>
    <w:rsid w:val="DF7FF51F"/>
    <w:rsid w:val="DF879989"/>
    <w:rsid w:val="DF9BD446"/>
    <w:rsid w:val="DF9D0863"/>
    <w:rsid w:val="DF9D0E41"/>
    <w:rsid w:val="DFA749C5"/>
    <w:rsid w:val="DFAFBB9F"/>
    <w:rsid w:val="DFBDDCEB"/>
    <w:rsid w:val="DFBDE71D"/>
    <w:rsid w:val="DFBF64F7"/>
    <w:rsid w:val="DFBFDC34"/>
    <w:rsid w:val="DFD7877F"/>
    <w:rsid w:val="DFD7C879"/>
    <w:rsid w:val="DFDBA0BE"/>
    <w:rsid w:val="DFDBB3B9"/>
    <w:rsid w:val="DFDD82B6"/>
    <w:rsid w:val="DFDF757D"/>
    <w:rsid w:val="DFDF885B"/>
    <w:rsid w:val="DFDFF190"/>
    <w:rsid w:val="DFE3475E"/>
    <w:rsid w:val="DFE60127"/>
    <w:rsid w:val="DFE7146A"/>
    <w:rsid w:val="DFE8D3BE"/>
    <w:rsid w:val="DFEB941C"/>
    <w:rsid w:val="DFEC9120"/>
    <w:rsid w:val="DFEFCE81"/>
    <w:rsid w:val="DFF099AA"/>
    <w:rsid w:val="DFF7557B"/>
    <w:rsid w:val="DFF7B379"/>
    <w:rsid w:val="DFF852D6"/>
    <w:rsid w:val="DFF8C953"/>
    <w:rsid w:val="DFFA0674"/>
    <w:rsid w:val="DFFABFD2"/>
    <w:rsid w:val="DFFBA3FE"/>
    <w:rsid w:val="DFFBD88C"/>
    <w:rsid w:val="DFFD7742"/>
    <w:rsid w:val="DFFDE7B7"/>
    <w:rsid w:val="DFFFF22A"/>
    <w:rsid w:val="DFFFF55E"/>
    <w:rsid w:val="E1BA169B"/>
    <w:rsid w:val="E1D6C4C4"/>
    <w:rsid w:val="E23FEBF6"/>
    <w:rsid w:val="E2DB86C5"/>
    <w:rsid w:val="E31AEE2E"/>
    <w:rsid w:val="E3FB58B2"/>
    <w:rsid w:val="E3FF4179"/>
    <w:rsid w:val="E46A12C9"/>
    <w:rsid w:val="E4DF974C"/>
    <w:rsid w:val="E4FFAE50"/>
    <w:rsid w:val="E51DCB57"/>
    <w:rsid w:val="E53B9CDC"/>
    <w:rsid w:val="E53F580E"/>
    <w:rsid w:val="E5F8405C"/>
    <w:rsid w:val="E5FF1B73"/>
    <w:rsid w:val="E67BDE2F"/>
    <w:rsid w:val="E67FFB4F"/>
    <w:rsid w:val="E6BBCDAC"/>
    <w:rsid w:val="E6BF1564"/>
    <w:rsid w:val="E6FB5ED6"/>
    <w:rsid w:val="E6FFCE69"/>
    <w:rsid w:val="E74F43CB"/>
    <w:rsid w:val="E765A11B"/>
    <w:rsid w:val="E77CB2A1"/>
    <w:rsid w:val="E77E99B3"/>
    <w:rsid w:val="E77E9A62"/>
    <w:rsid w:val="E7BF0D71"/>
    <w:rsid w:val="E7C16BB3"/>
    <w:rsid w:val="E7CBFAC5"/>
    <w:rsid w:val="E7D3144E"/>
    <w:rsid w:val="E7F7E405"/>
    <w:rsid w:val="E7FBD379"/>
    <w:rsid w:val="E7FF4E93"/>
    <w:rsid w:val="E7FF525D"/>
    <w:rsid w:val="E7FFF9AA"/>
    <w:rsid w:val="E7FFFAF1"/>
    <w:rsid w:val="E83406B9"/>
    <w:rsid w:val="E88F7A55"/>
    <w:rsid w:val="E8978155"/>
    <w:rsid w:val="E8E9A595"/>
    <w:rsid w:val="E8FF6AE1"/>
    <w:rsid w:val="E949B505"/>
    <w:rsid w:val="E9751BE7"/>
    <w:rsid w:val="E9756CAB"/>
    <w:rsid w:val="E9B21610"/>
    <w:rsid w:val="E9BFC566"/>
    <w:rsid w:val="E9CB9DDE"/>
    <w:rsid w:val="E9CF4F4B"/>
    <w:rsid w:val="E9EF7157"/>
    <w:rsid w:val="EA277E50"/>
    <w:rsid w:val="EA3F7886"/>
    <w:rsid w:val="EA5A75D8"/>
    <w:rsid w:val="EA6BAE63"/>
    <w:rsid w:val="EA7FE778"/>
    <w:rsid w:val="EAAD97BE"/>
    <w:rsid w:val="EAD23A14"/>
    <w:rsid w:val="EAFF05D0"/>
    <w:rsid w:val="EB1F400E"/>
    <w:rsid w:val="EB509333"/>
    <w:rsid w:val="EB5F5CA1"/>
    <w:rsid w:val="EB5FC1FA"/>
    <w:rsid w:val="EB6B7C11"/>
    <w:rsid w:val="EB6D20B4"/>
    <w:rsid w:val="EB7B39C3"/>
    <w:rsid w:val="EB7BB422"/>
    <w:rsid w:val="EBAB7B1A"/>
    <w:rsid w:val="EBADE686"/>
    <w:rsid w:val="EBAF4307"/>
    <w:rsid w:val="EBBADC26"/>
    <w:rsid w:val="EBBFE463"/>
    <w:rsid w:val="EBCA9BC4"/>
    <w:rsid w:val="EBD52758"/>
    <w:rsid w:val="EBD56CAD"/>
    <w:rsid w:val="EBDFDB1A"/>
    <w:rsid w:val="EBEFB20E"/>
    <w:rsid w:val="EBF73B52"/>
    <w:rsid w:val="EBF7E1DB"/>
    <w:rsid w:val="EBFBA16F"/>
    <w:rsid w:val="EBFD47A1"/>
    <w:rsid w:val="EBFE4288"/>
    <w:rsid w:val="EBFF218F"/>
    <w:rsid w:val="EBFFA4EC"/>
    <w:rsid w:val="EBFFE1C5"/>
    <w:rsid w:val="EC3AC354"/>
    <w:rsid w:val="EC7E1032"/>
    <w:rsid w:val="ECAF88FC"/>
    <w:rsid w:val="ECAFC110"/>
    <w:rsid w:val="ECCD2B6A"/>
    <w:rsid w:val="ECED4F27"/>
    <w:rsid w:val="ECEE4F4E"/>
    <w:rsid w:val="ECF89719"/>
    <w:rsid w:val="ECFF7B31"/>
    <w:rsid w:val="ED3BDF48"/>
    <w:rsid w:val="ED6F5224"/>
    <w:rsid w:val="ED82BD0F"/>
    <w:rsid w:val="EDDD3771"/>
    <w:rsid w:val="EDDF4E6E"/>
    <w:rsid w:val="EDE73502"/>
    <w:rsid w:val="EDEF14B9"/>
    <w:rsid w:val="EDF30612"/>
    <w:rsid w:val="EDFB5A7D"/>
    <w:rsid w:val="EDFBC2CA"/>
    <w:rsid w:val="EDFE13FF"/>
    <w:rsid w:val="EDFE48A8"/>
    <w:rsid w:val="EDFEF6C4"/>
    <w:rsid w:val="EDFF26C4"/>
    <w:rsid w:val="EDFFAEB0"/>
    <w:rsid w:val="EDFFF481"/>
    <w:rsid w:val="EE0F17E8"/>
    <w:rsid w:val="EE3F68E7"/>
    <w:rsid w:val="EE57406A"/>
    <w:rsid w:val="EE5E1662"/>
    <w:rsid w:val="EE7FC0C0"/>
    <w:rsid w:val="EEA1EE57"/>
    <w:rsid w:val="EEA7C7A2"/>
    <w:rsid w:val="EEAADE00"/>
    <w:rsid w:val="EEB78AB0"/>
    <w:rsid w:val="EEC6C89C"/>
    <w:rsid w:val="EED70BD2"/>
    <w:rsid w:val="EEDF3CAB"/>
    <w:rsid w:val="EEE6FFD0"/>
    <w:rsid w:val="EEE70CD0"/>
    <w:rsid w:val="EEF27DCF"/>
    <w:rsid w:val="EEF59269"/>
    <w:rsid w:val="EEFB3372"/>
    <w:rsid w:val="EEFB5FB3"/>
    <w:rsid w:val="EEFF7899"/>
    <w:rsid w:val="EEFFDA87"/>
    <w:rsid w:val="EF1ED4F3"/>
    <w:rsid w:val="EF3CE63E"/>
    <w:rsid w:val="EF4B8D02"/>
    <w:rsid w:val="EF4EFA62"/>
    <w:rsid w:val="EF4F7E0D"/>
    <w:rsid w:val="EF7451DC"/>
    <w:rsid w:val="EF7B5749"/>
    <w:rsid w:val="EF7D5F2E"/>
    <w:rsid w:val="EF9B95C1"/>
    <w:rsid w:val="EF9D52C9"/>
    <w:rsid w:val="EF9EDCFF"/>
    <w:rsid w:val="EFAB28EA"/>
    <w:rsid w:val="EFAEF1C5"/>
    <w:rsid w:val="EFB5DC14"/>
    <w:rsid w:val="EFB7C324"/>
    <w:rsid w:val="EFBC0569"/>
    <w:rsid w:val="EFBD6C7C"/>
    <w:rsid w:val="EFBF328E"/>
    <w:rsid w:val="EFBF6487"/>
    <w:rsid w:val="EFBFD3FE"/>
    <w:rsid w:val="EFCFD622"/>
    <w:rsid w:val="EFD7B280"/>
    <w:rsid w:val="EFDBBA0E"/>
    <w:rsid w:val="EFDE4644"/>
    <w:rsid w:val="EFDF0C60"/>
    <w:rsid w:val="EFDF6FFB"/>
    <w:rsid w:val="EFDFB296"/>
    <w:rsid w:val="EFE785CD"/>
    <w:rsid w:val="EFE7F8A2"/>
    <w:rsid w:val="EFE849F4"/>
    <w:rsid w:val="EFEB9291"/>
    <w:rsid w:val="EFEF4EC7"/>
    <w:rsid w:val="EFEF69D6"/>
    <w:rsid w:val="EFEF7AED"/>
    <w:rsid w:val="EFEFCC9D"/>
    <w:rsid w:val="EFF68C9F"/>
    <w:rsid w:val="EFF744D6"/>
    <w:rsid w:val="EFF7C41C"/>
    <w:rsid w:val="EFF7FE7B"/>
    <w:rsid w:val="EFFAAB36"/>
    <w:rsid w:val="EFFB5E0B"/>
    <w:rsid w:val="EFFF1D36"/>
    <w:rsid w:val="EFFF7314"/>
    <w:rsid w:val="EFFFF2DE"/>
    <w:rsid w:val="F0EDDF58"/>
    <w:rsid w:val="F0F99B15"/>
    <w:rsid w:val="F0FF8515"/>
    <w:rsid w:val="F13CA140"/>
    <w:rsid w:val="F17B61C7"/>
    <w:rsid w:val="F1B9F157"/>
    <w:rsid w:val="F1BD1634"/>
    <w:rsid w:val="F1D77465"/>
    <w:rsid w:val="F1DF6167"/>
    <w:rsid w:val="F1FF849B"/>
    <w:rsid w:val="F1FF8A30"/>
    <w:rsid w:val="F25974B3"/>
    <w:rsid w:val="F27F5DBC"/>
    <w:rsid w:val="F2BA5928"/>
    <w:rsid w:val="F2C3953C"/>
    <w:rsid w:val="F2DB316C"/>
    <w:rsid w:val="F2F717FC"/>
    <w:rsid w:val="F33F8562"/>
    <w:rsid w:val="F3683D5B"/>
    <w:rsid w:val="F36FF898"/>
    <w:rsid w:val="F37F3AE8"/>
    <w:rsid w:val="F37F62F7"/>
    <w:rsid w:val="F3BB99BE"/>
    <w:rsid w:val="F3BF4E2C"/>
    <w:rsid w:val="F3C71EA7"/>
    <w:rsid w:val="F3D79C81"/>
    <w:rsid w:val="F3EE0D72"/>
    <w:rsid w:val="F3EE4550"/>
    <w:rsid w:val="F3EFA1C3"/>
    <w:rsid w:val="F3F72627"/>
    <w:rsid w:val="F3FEDA0F"/>
    <w:rsid w:val="F3FF18A7"/>
    <w:rsid w:val="F3FF81BF"/>
    <w:rsid w:val="F3FFC24B"/>
    <w:rsid w:val="F4B79C21"/>
    <w:rsid w:val="F4BE84F5"/>
    <w:rsid w:val="F4DF4C9E"/>
    <w:rsid w:val="F4F76835"/>
    <w:rsid w:val="F4F7FCEE"/>
    <w:rsid w:val="F4F9A83E"/>
    <w:rsid w:val="F5380036"/>
    <w:rsid w:val="F53BA793"/>
    <w:rsid w:val="F53DB57E"/>
    <w:rsid w:val="F55639FB"/>
    <w:rsid w:val="F59F3186"/>
    <w:rsid w:val="F5BF2A6B"/>
    <w:rsid w:val="F5CF29C3"/>
    <w:rsid w:val="F5D5BA7D"/>
    <w:rsid w:val="F5DBE110"/>
    <w:rsid w:val="F5DD2919"/>
    <w:rsid w:val="F5EE90F6"/>
    <w:rsid w:val="F5F615BA"/>
    <w:rsid w:val="F5F966A0"/>
    <w:rsid w:val="F5FC587E"/>
    <w:rsid w:val="F5FF83B7"/>
    <w:rsid w:val="F60FAA3F"/>
    <w:rsid w:val="F62BFE9D"/>
    <w:rsid w:val="F65FC8A1"/>
    <w:rsid w:val="F66B9F3D"/>
    <w:rsid w:val="F6716AE7"/>
    <w:rsid w:val="F677EF23"/>
    <w:rsid w:val="F67E6179"/>
    <w:rsid w:val="F67F96B8"/>
    <w:rsid w:val="F68BBFD0"/>
    <w:rsid w:val="F69F092D"/>
    <w:rsid w:val="F69FF334"/>
    <w:rsid w:val="F6C7F379"/>
    <w:rsid w:val="F6EF1518"/>
    <w:rsid w:val="F6EF5056"/>
    <w:rsid w:val="F6EF6719"/>
    <w:rsid w:val="F6EF75FC"/>
    <w:rsid w:val="F6FD140E"/>
    <w:rsid w:val="F6FEA9F0"/>
    <w:rsid w:val="F6FFA628"/>
    <w:rsid w:val="F6FFA639"/>
    <w:rsid w:val="F71B27A9"/>
    <w:rsid w:val="F72BD518"/>
    <w:rsid w:val="F73D92CD"/>
    <w:rsid w:val="F73DE954"/>
    <w:rsid w:val="F73F3CFB"/>
    <w:rsid w:val="F7561614"/>
    <w:rsid w:val="F75DA4C4"/>
    <w:rsid w:val="F76B530D"/>
    <w:rsid w:val="F76E93F7"/>
    <w:rsid w:val="F774F8BE"/>
    <w:rsid w:val="F7760135"/>
    <w:rsid w:val="F77B54F8"/>
    <w:rsid w:val="F77D45B7"/>
    <w:rsid w:val="F77DBB23"/>
    <w:rsid w:val="F77FE1B4"/>
    <w:rsid w:val="F78C895F"/>
    <w:rsid w:val="F78FF1B6"/>
    <w:rsid w:val="F79DC628"/>
    <w:rsid w:val="F79FBD11"/>
    <w:rsid w:val="F7AAA793"/>
    <w:rsid w:val="F7B64957"/>
    <w:rsid w:val="F7B73C03"/>
    <w:rsid w:val="F7BB4AF9"/>
    <w:rsid w:val="F7BE17FE"/>
    <w:rsid w:val="F7BFF5A2"/>
    <w:rsid w:val="F7C316D1"/>
    <w:rsid w:val="F7CFBD61"/>
    <w:rsid w:val="F7DBF70A"/>
    <w:rsid w:val="F7DD2447"/>
    <w:rsid w:val="F7DE0BFF"/>
    <w:rsid w:val="F7E3F1D0"/>
    <w:rsid w:val="F7EA256F"/>
    <w:rsid w:val="F7EA3389"/>
    <w:rsid w:val="F7ED3D42"/>
    <w:rsid w:val="F7EF9C58"/>
    <w:rsid w:val="F7F1BFAC"/>
    <w:rsid w:val="F7F5FF68"/>
    <w:rsid w:val="F7F73C72"/>
    <w:rsid w:val="F7F75AFA"/>
    <w:rsid w:val="F7F7E46E"/>
    <w:rsid w:val="F7F8189D"/>
    <w:rsid w:val="F7FB5FBD"/>
    <w:rsid w:val="F7FBD8EF"/>
    <w:rsid w:val="F7FDCF7B"/>
    <w:rsid w:val="F7FE1629"/>
    <w:rsid w:val="F7FE1FBE"/>
    <w:rsid w:val="F7FE74E9"/>
    <w:rsid w:val="F7FF59EA"/>
    <w:rsid w:val="F7FF634B"/>
    <w:rsid w:val="F7FFA908"/>
    <w:rsid w:val="F7FFD76B"/>
    <w:rsid w:val="F7FFDAFE"/>
    <w:rsid w:val="F87CB5C7"/>
    <w:rsid w:val="F8B35C64"/>
    <w:rsid w:val="F8DBA54D"/>
    <w:rsid w:val="F8DFBD52"/>
    <w:rsid w:val="F8EF2EE6"/>
    <w:rsid w:val="F8F72F4E"/>
    <w:rsid w:val="F8F73AD0"/>
    <w:rsid w:val="F8FB5F60"/>
    <w:rsid w:val="F95BEA19"/>
    <w:rsid w:val="F96F5584"/>
    <w:rsid w:val="F97BB611"/>
    <w:rsid w:val="F97BF61D"/>
    <w:rsid w:val="F97D1ED6"/>
    <w:rsid w:val="F97E8E02"/>
    <w:rsid w:val="F97F5B0C"/>
    <w:rsid w:val="F97FD8D5"/>
    <w:rsid w:val="F99F2BE0"/>
    <w:rsid w:val="F99FFE0B"/>
    <w:rsid w:val="F9AE5A56"/>
    <w:rsid w:val="F9BD5685"/>
    <w:rsid w:val="F9BE69AA"/>
    <w:rsid w:val="F9CD1FCC"/>
    <w:rsid w:val="F9CDA9B5"/>
    <w:rsid w:val="F9D92410"/>
    <w:rsid w:val="F9DE2FCA"/>
    <w:rsid w:val="F9DF3022"/>
    <w:rsid w:val="F9EB4435"/>
    <w:rsid w:val="F9EE02F9"/>
    <w:rsid w:val="F9F6FB15"/>
    <w:rsid w:val="F9F7403A"/>
    <w:rsid w:val="F9FB526C"/>
    <w:rsid w:val="F9FB9FC1"/>
    <w:rsid w:val="F9FF014F"/>
    <w:rsid w:val="F9FFA43C"/>
    <w:rsid w:val="F9FFC334"/>
    <w:rsid w:val="FA0CFF34"/>
    <w:rsid w:val="FA2FD7FA"/>
    <w:rsid w:val="FA34FC57"/>
    <w:rsid w:val="FA3F3290"/>
    <w:rsid w:val="FA7543E7"/>
    <w:rsid w:val="FA7B65E3"/>
    <w:rsid w:val="FA7F03E5"/>
    <w:rsid w:val="FAAEC140"/>
    <w:rsid w:val="FABDE3CD"/>
    <w:rsid w:val="FABFAF35"/>
    <w:rsid w:val="FACFF0BC"/>
    <w:rsid w:val="FAD63D8F"/>
    <w:rsid w:val="FAD96E7C"/>
    <w:rsid w:val="FADB90EF"/>
    <w:rsid w:val="FADD9AAC"/>
    <w:rsid w:val="FAEB9BE4"/>
    <w:rsid w:val="FAF39073"/>
    <w:rsid w:val="FAF3C7C0"/>
    <w:rsid w:val="FAF5A9FE"/>
    <w:rsid w:val="FAF70189"/>
    <w:rsid w:val="FAF7EED9"/>
    <w:rsid w:val="FAF948F0"/>
    <w:rsid w:val="FAFADA5B"/>
    <w:rsid w:val="FAFDB297"/>
    <w:rsid w:val="FB35AF0E"/>
    <w:rsid w:val="FB3AD472"/>
    <w:rsid w:val="FB3F1B50"/>
    <w:rsid w:val="FB62E01A"/>
    <w:rsid w:val="FB6F3C27"/>
    <w:rsid w:val="FB6FC00C"/>
    <w:rsid w:val="FB76D4C9"/>
    <w:rsid w:val="FB7D140C"/>
    <w:rsid w:val="FB7D2AC3"/>
    <w:rsid w:val="FB7E07D0"/>
    <w:rsid w:val="FB8AA12A"/>
    <w:rsid w:val="FB9ACE45"/>
    <w:rsid w:val="FBA398E0"/>
    <w:rsid w:val="FBA3D25D"/>
    <w:rsid w:val="FBBD9B1C"/>
    <w:rsid w:val="FBBDC3F3"/>
    <w:rsid w:val="FBBF1C7D"/>
    <w:rsid w:val="FBBFC527"/>
    <w:rsid w:val="FBBFD060"/>
    <w:rsid w:val="FBC7D98E"/>
    <w:rsid w:val="FBCF1A5C"/>
    <w:rsid w:val="FBD79703"/>
    <w:rsid w:val="FBDF2B6C"/>
    <w:rsid w:val="FBDFCAE2"/>
    <w:rsid w:val="FBE38EBF"/>
    <w:rsid w:val="FBE8CA18"/>
    <w:rsid w:val="FBEA43AD"/>
    <w:rsid w:val="FBEB7977"/>
    <w:rsid w:val="FBEC48E1"/>
    <w:rsid w:val="FBEE5A01"/>
    <w:rsid w:val="FBEEB2BB"/>
    <w:rsid w:val="FBEEBB0C"/>
    <w:rsid w:val="FBEF3CA7"/>
    <w:rsid w:val="FBF7800B"/>
    <w:rsid w:val="FBF7CF17"/>
    <w:rsid w:val="FBF86E28"/>
    <w:rsid w:val="FBF9B851"/>
    <w:rsid w:val="FBF9CA81"/>
    <w:rsid w:val="FBFAD62C"/>
    <w:rsid w:val="FBFB07FB"/>
    <w:rsid w:val="FBFB13E9"/>
    <w:rsid w:val="FBFB5B44"/>
    <w:rsid w:val="FBFB8CA0"/>
    <w:rsid w:val="FBFC2364"/>
    <w:rsid w:val="FBFC9AD4"/>
    <w:rsid w:val="FBFD1334"/>
    <w:rsid w:val="FBFD2830"/>
    <w:rsid w:val="FBFDCAF9"/>
    <w:rsid w:val="FBFE0273"/>
    <w:rsid w:val="FBFE3CB5"/>
    <w:rsid w:val="FBFE55A6"/>
    <w:rsid w:val="FBFF5CD6"/>
    <w:rsid w:val="FBFF80AB"/>
    <w:rsid w:val="FBFF94B1"/>
    <w:rsid w:val="FBFFE560"/>
    <w:rsid w:val="FC3D6337"/>
    <w:rsid w:val="FC6BEFE4"/>
    <w:rsid w:val="FC6DAC43"/>
    <w:rsid w:val="FC7392DB"/>
    <w:rsid w:val="FC7F2FD8"/>
    <w:rsid w:val="FC7FCF30"/>
    <w:rsid w:val="FC99D8E1"/>
    <w:rsid w:val="FC9E9755"/>
    <w:rsid w:val="FCD165EA"/>
    <w:rsid w:val="FCDD0C94"/>
    <w:rsid w:val="FCDFD22D"/>
    <w:rsid w:val="FCE59604"/>
    <w:rsid w:val="FCEB2FEE"/>
    <w:rsid w:val="FCEE6A29"/>
    <w:rsid w:val="FCEFE8AA"/>
    <w:rsid w:val="FCF915C2"/>
    <w:rsid w:val="FCFE7116"/>
    <w:rsid w:val="FCFF8C5B"/>
    <w:rsid w:val="FD334169"/>
    <w:rsid w:val="FD54F280"/>
    <w:rsid w:val="FD560105"/>
    <w:rsid w:val="FD5F9EC4"/>
    <w:rsid w:val="FD6EF4BD"/>
    <w:rsid w:val="FD724182"/>
    <w:rsid w:val="FD72B613"/>
    <w:rsid w:val="FD73FB7D"/>
    <w:rsid w:val="FD77E2DD"/>
    <w:rsid w:val="FD7EF8A6"/>
    <w:rsid w:val="FD7F6272"/>
    <w:rsid w:val="FD83907F"/>
    <w:rsid w:val="FD99EA4D"/>
    <w:rsid w:val="FD9DDC3C"/>
    <w:rsid w:val="FD9F64CF"/>
    <w:rsid w:val="FDA6E9DC"/>
    <w:rsid w:val="FDAD4304"/>
    <w:rsid w:val="FDB1E331"/>
    <w:rsid w:val="FDB348A3"/>
    <w:rsid w:val="FDB4A625"/>
    <w:rsid w:val="FDBB34A9"/>
    <w:rsid w:val="FDBE664E"/>
    <w:rsid w:val="FDC317DB"/>
    <w:rsid w:val="FDCD1E19"/>
    <w:rsid w:val="FDCDC785"/>
    <w:rsid w:val="FDCF7F00"/>
    <w:rsid w:val="FDCFFE57"/>
    <w:rsid w:val="FDDA4AEB"/>
    <w:rsid w:val="FDDC0336"/>
    <w:rsid w:val="FDDC807B"/>
    <w:rsid w:val="FDDEF7DC"/>
    <w:rsid w:val="FDDF3CA2"/>
    <w:rsid w:val="FDDF78DF"/>
    <w:rsid w:val="FDDF7F9B"/>
    <w:rsid w:val="FDDFC4AD"/>
    <w:rsid w:val="FDE653CF"/>
    <w:rsid w:val="FDE7146C"/>
    <w:rsid w:val="FDEDA2C9"/>
    <w:rsid w:val="FDEED001"/>
    <w:rsid w:val="FDF5D290"/>
    <w:rsid w:val="FDF71B10"/>
    <w:rsid w:val="FDF722B4"/>
    <w:rsid w:val="FDF75683"/>
    <w:rsid w:val="FDF7773C"/>
    <w:rsid w:val="FDF7F415"/>
    <w:rsid w:val="FDF9A40E"/>
    <w:rsid w:val="FDF9B12D"/>
    <w:rsid w:val="FDFA1B16"/>
    <w:rsid w:val="FDFB5340"/>
    <w:rsid w:val="FDFB87D4"/>
    <w:rsid w:val="FDFD4CFD"/>
    <w:rsid w:val="FDFE08EE"/>
    <w:rsid w:val="FDFED810"/>
    <w:rsid w:val="FDFF5DFE"/>
    <w:rsid w:val="FDFF6DC9"/>
    <w:rsid w:val="FDFF85BA"/>
    <w:rsid w:val="FDFFA091"/>
    <w:rsid w:val="FE23F8FC"/>
    <w:rsid w:val="FE37A537"/>
    <w:rsid w:val="FE390FFC"/>
    <w:rsid w:val="FE3EE0AB"/>
    <w:rsid w:val="FE3F1C71"/>
    <w:rsid w:val="FE479BD0"/>
    <w:rsid w:val="FE4D6815"/>
    <w:rsid w:val="FE5766E6"/>
    <w:rsid w:val="FE6BAD04"/>
    <w:rsid w:val="FE6ECCE2"/>
    <w:rsid w:val="FE6F876E"/>
    <w:rsid w:val="FE76A8B4"/>
    <w:rsid w:val="FE79F9D1"/>
    <w:rsid w:val="FE7E7F16"/>
    <w:rsid w:val="FE7F5D85"/>
    <w:rsid w:val="FE9ACEA5"/>
    <w:rsid w:val="FE9CF41A"/>
    <w:rsid w:val="FE9F0E7B"/>
    <w:rsid w:val="FEAF8A43"/>
    <w:rsid w:val="FEBA5174"/>
    <w:rsid w:val="FEBBC301"/>
    <w:rsid w:val="FEBBEFEB"/>
    <w:rsid w:val="FEBCA3A5"/>
    <w:rsid w:val="FEBDB8B4"/>
    <w:rsid w:val="FEBF8DF5"/>
    <w:rsid w:val="FEBFA07A"/>
    <w:rsid w:val="FEC44943"/>
    <w:rsid w:val="FED167D1"/>
    <w:rsid w:val="FEDD2C03"/>
    <w:rsid w:val="FEDF1C4F"/>
    <w:rsid w:val="FEDF2F0F"/>
    <w:rsid w:val="FEE7CE37"/>
    <w:rsid w:val="FEEF4F51"/>
    <w:rsid w:val="FEF6806A"/>
    <w:rsid w:val="FEF75775"/>
    <w:rsid w:val="FEF79499"/>
    <w:rsid w:val="FEFA9E41"/>
    <w:rsid w:val="FEFB05E3"/>
    <w:rsid w:val="FEFB66C9"/>
    <w:rsid w:val="FEFBA7C9"/>
    <w:rsid w:val="FEFCFD22"/>
    <w:rsid w:val="FEFDC14C"/>
    <w:rsid w:val="FEFEF8F6"/>
    <w:rsid w:val="FEFF0545"/>
    <w:rsid w:val="FEFF424F"/>
    <w:rsid w:val="FEFF5877"/>
    <w:rsid w:val="FEFF76F5"/>
    <w:rsid w:val="FEFF776B"/>
    <w:rsid w:val="FEFF8DBB"/>
    <w:rsid w:val="FEFFC1D7"/>
    <w:rsid w:val="FEFFCDF1"/>
    <w:rsid w:val="FF05EB7B"/>
    <w:rsid w:val="FF0B74E8"/>
    <w:rsid w:val="FF179194"/>
    <w:rsid w:val="FF2AFC2B"/>
    <w:rsid w:val="FF3D5465"/>
    <w:rsid w:val="FF3F5F3C"/>
    <w:rsid w:val="FF3F6A74"/>
    <w:rsid w:val="FF3F8F87"/>
    <w:rsid w:val="FF4F7529"/>
    <w:rsid w:val="FF517E39"/>
    <w:rsid w:val="FF54E680"/>
    <w:rsid w:val="FF55BA35"/>
    <w:rsid w:val="FF57F65B"/>
    <w:rsid w:val="FF590E61"/>
    <w:rsid w:val="FF5BA38C"/>
    <w:rsid w:val="FF5D09FB"/>
    <w:rsid w:val="FF5F14F4"/>
    <w:rsid w:val="FF5F1559"/>
    <w:rsid w:val="FF5F6F22"/>
    <w:rsid w:val="FF62A437"/>
    <w:rsid w:val="FF67CE48"/>
    <w:rsid w:val="FF67E0A6"/>
    <w:rsid w:val="FF684D6A"/>
    <w:rsid w:val="FF6B6C38"/>
    <w:rsid w:val="FF6E0490"/>
    <w:rsid w:val="FF6EB674"/>
    <w:rsid w:val="FF6F7391"/>
    <w:rsid w:val="FF748356"/>
    <w:rsid w:val="FF764530"/>
    <w:rsid w:val="FF76E261"/>
    <w:rsid w:val="FF7757E9"/>
    <w:rsid w:val="FF775F00"/>
    <w:rsid w:val="FF77BB14"/>
    <w:rsid w:val="FF792278"/>
    <w:rsid w:val="FF7A5858"/>
    <w:rsid w:val="FF7BF696"/>
    <w:rsid w:val="FF7CDBF2"/>
    <w:rsid w:val="FF7DAABD"/>
    <w:rsid w:val="FF7DD5F5"/>
    <w:rsid w:val="FF7EC9BC"/>
    <w:rsid w:val="FF7F3081"/>
    <w:rsid w:val="FF7F5722"/>
    <w:rsid w:val="FF7F5DE2"/>
    <w:rsid w:val="FF7F7F0D"/>
    <w:rsid w:val="FF7F9DD7"/>
    <w:rsid w:val="FF7FC8C6"/>
    <w:rsid w:val="FF7FEEAD"/>
    <w:rsid w:val="FF83E3E7"/>
    <w:rsid w:val="FF86CC9A"/>
    <w:rsid w:val="FF8F39CB"/>
    <w:rsid w:val="FF8F932A"/>
    <w:rsid w:val="FF91E49C"/>
    <w:rsid w:val="FF9ECE75"/>
    <w:rsid w:val="FF9F7774"/>
    <w:rsid w:val="FF9FAA24"/>
    <w:rsid w:val="FFAA4FA9"/>
    <w:rsid w:val="FFAD7C09"/>
    <w:rsid w:val="FFAFA610"/>
    <w:rsid w:val="FFAFC9E7"/>
    <w:rsid w:val="FFB74DBA"/>
    <w:rsid w:val="FFB766F8"/>
    <w:rsid w:val="FFB7AA31"/>
    <w:rsid w:val="FFB7CCC9"/>
    <w:rsid w:val="FFBB4182"/>
    <w:rsid w:val="FFBB759A"/>
    <w:rsid w:val="FFBB8B42"/>
    <w:rsid w:val="FFBC02AF"/>
    <w:rsid w:val="FFBDC118"/>
    <w:rsid w:val="FFBEAF2C"/>
    <w:rsid w:val="FFBEFB5C"/>
    <w:rsid w:val="FFBF071A"/>
    <w:rsid w:val="FFBF4596"/>
    <w:rsid w:val="FFBF811E"/>
    <w:rsid w:val="FFBF895F"/>
    <w:rsid w:val="FFBF9621"/>
    <w:rsid w:val="FFBFAE7B"/>
    <w:rsid w:val="FFBFB7FC"/>
    <w:rsid w:val="FFBFBC5C"/>
    <w:rsid w:val="FFBFF592"/>
    <w:rsid w:val="FFC71D44"/>
    <w:rsid w:val="FFCB476E"/>
    <w:rsid w:val="FFCDF8F6"/>
    <w:rsid w:val="FFD56895"/>
    <w:rsid w:val="FFD73A77"/>
    <w:rsid w:val="FFD7859A"/>
    <w:rsid w:val="FFD7DD9D"/>
    <w:rsid w:val="FFD9A7D1"/>
    <w:rsid w:val="FFDA82C3"/>
    <w:rsid w:val="FFDB82E3"/>
    <w:rsid w:val="FFDBCF9E"/>
    <w:rsid w:val="FFDC4585"/>
    <w:rsid w:val="FFDDCF05"/>
    <w:rsid w:val="FFDE7A40"/>
    <w:rsid w:val="FFDE896A"/>
    <w:rsid w:val="FFDEA58B"/>
    <w:rsid w:val="FFDEA9F2"/>
    <w:rsid w:val="FFDEECF5"/>
    <w:rsid w:val="FFDF1FE3"/>
    <w:rsid w:val="FFDF23ED"/>
    <w:rsid w:val="FFDF289E"/>
    <w:rsid w:val="FFDF2CCB"/>
    <w:rsid w:val="FFDF4DC0"/>
    <w:rsid w:val="FFDF8577"/>
    <w:rsid w:val="FFDF8CA7"/>
    <w:rsid w:val="FFE4FDCE"/>
    <w:rsid w:val="FFE6968B"/>
    <w:rsid w:val="FFE764E6"/>
    <w:rsid w:val="FFE76E9B"/>
    <w:rsid w:val="FFE77ACD"/>
    <w:rsid w:val="FFEAB9C2"/>
    <w:rsid w:val="FFEB547B"/>
    <w:rsid w:val="FFEB615D"/>
    <w:rsid w:val="FFED6145"/>
    <w:rsid w:val="FFEDDFCF"/>
    <w:rsid w:val="FFEF0DF7"/>
    <w:rsid w:val="FFEF0FB9"/>
    <w:rsid w:val="FFEF2FE4"/>
    <w:rsid w:val="FFEF542B"/>
    <w:rsid w:val="FFEFC14C"/>
    <w:rsid w:val="FFEFEC9F"/>
    <w:rsid w:val="FFF32924"/>
    <w:rsid w:val="FFF3682D"/>
    <w:rsid w:val="FFF39560"/>
    <w:rsid w:val="FFF4B036"/>
    <w:rsid w:val="FFF53F40"/>
    <w:rsid w:val="FFF60B97"/>
    <w:rsid w:val="FFF776B4"/>
    <w:rsid w:val="FFF7927D"/>
    <w:rsid w:val="FFF7AAB4"/>
    <w:rsid w:val="FFF84199"/>
    <w:rsid w:val="FFF9AB42"/>
    <w:rsid w:val="FFFA100A"/>
    <w:rsid w:val="FFFA613F"/>
    <w:rsid w:val="FFFB106C"/>
    <w:rsid w:val="FFFB24DC"/>
    <w:rsid w:val="FFFB88EC"/>
    <w:rsid w:val="FFFB9A14"/>
    <w:rsid w:val="FFFB9D4C"/>
    <w:rsid w:val="FFFBAEB8"/>
    <w:rsid w:val="FFFBCBE4"/>
    <w:rsid w:val="FFFD2E86"/>
    <w:rsid w:val="FFFD629D"/>
    <w:rsid w:val="FFFD7D5B"/>
    <w:rsid w:val="FFFD8202"/>
    <w:rsid w:val="FFFDF0B1"/>
    <w:rsid w:val="FFFE2FA1"/>
    <w:rsid w:val="FFFE6B2B"/>
    <w:rsid w:val="FFFE8CB7"/>
    <w:rsid w:val="FFFE9B01"/>
    <w:rsid w:val="FFFECF70"/>
    <w:rsid w:val="FFFF01FF"/>
    <w:rsid w:val="FFFF048E"/>
    <w:rsid w:val="FFFF1494"/>
    <w:rsid w:val="FFFF19F7"/>
    <w:rsid w:val="FFFF3949"/>
    <w:rsid w:val="FFFF3D56"/>
    <w:rsid w:val="FFFF51EC"/>
    <w:rsid w:val="FFFF64F0"/>
    <w:rsid w:val="FFFF70F1"/>
    <w:rsid w:val="FFFF85BA"/>
    <w:rsid w:val="FFFF8A3B"/>
    <w:rsid w:val="FFFFAE47"/>
    <w:rsid w:val="FFFFAE53"/>
    <w:rsid w:val="FFFFEA7C"/>
    <w:rsid w:val="FFFFEB71"/>
    <w:rsid w:val="FFFFF6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9"/>
    <w:pPr>
      <w:keepNext/>
      <w:keepLines/>
      <w:adjustRightInd w:val="0"/>
      <w:spacing w:line="720" w:lineRule="auto"/>
      <w:jc w:val="left"/>
      <w:outlineLvl w:val="0"/>
    </w:pPr>
    <w:rPr>
      <w:rFonts w:ascii="Times New Roman" w:hAnsi="Times New Roman" w:eastAsia="黑体"/>
      <w:b/>
      <w:bCs/>
      <w:kern w:val="44"/>
      <w:sz w:val="32"/>
      <w:szCs w:val="44"/>
    </w:rPr>
  </w:style>
  <w:style w:type="paragraph" w:styleId="3">
    <w:name w:val="heading 2"/>
    <w:basedOn w:val="1"/>
    <w:next w:val="1"/>
    <w:link w:val="25"/>
    <w:qFormat/>
    <w:uiPriority w:val="99"/>
    <w:pPr>
      <w:keepNext/>
      <w:keepLines/>
      <w:spacing w:line="440" w:lineRule="exact"/>
      <w:outlineLvl w:val="1"/>
    </w:pPr>
    <w:rPr>
      <w:rFonts w:ascii="Times New Roman" w:hAnsi="Times New Roman" w:eastAsia="黑体"/>
      <w:bCs/>
      <w:sz w:val="32"/>
      <w:szCs w:val="32"/>
    </w:rPr>
  </w:style>
  <w:style w:type="paragraph" w:styleId="4">
    <w:name w:val="heading 3"/>
    <w:basedOn w:val="1"/>
    <w:next w:val="1"/>
    <w:link w:val="26"/>
    <w:qFormat/>
    <w:uiPriority w:val="99"/>
    <w:pPr>
      <w:keepNext/>
      <w:keepLines/>
      <w:spacing w:line="360" w:lineRule="auto"/>
      <w:outlineLvl w:val="2"/>
    </w:pPr>
    <w:rPr>
      <w:rFonts w:eastAsia="楷体_GB2312"/>
      <w:b/>
      <w:bCs/>
      <w:sz w:val="32"/>
      <w:szCs w:val="32"/>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99"/>
    <w:pPr>
      <w:ind w:left="420" w:leftChars="200"/>
    </w:pPr>
  </w:style>
  <w:style w:type="paragraph" w:styleId="6">
    <w:name w:val="annotation text"/>
    <w:basedOn w:val="1"/>
    <w:link w:val="27"/>
    <w:semiHidden/>
    <w:qFormat/>
    <w:uiPriority w:val="99"/>
    <w:pPr>
      <w:jc w:val="left"/>
    </w:pPr>
  </w:style>
  <w:style w:type="paragraph" w:styleId="7">
    <w:name w:val="Balloon Text"/>
    <w:basedOn w:val="1"/>
    <w:link w:val="28"/>
    <w:semiHidden/>
    <w:qFormat/>
    <w:uiPriority w:val="99"/>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99"/>
    <w:pPr>
      <w:tabs>
        <w:tab w:val="right" w:leader="dot" w:pos="8296"/>
      </w:tabs>
    </w:pPr>
    <w:rPr>
      <w:rFonts w:ascii="Times New Roman" w:hAnsi="Times New Roman" w:eastAsia="黑体"/>
      <w:b/>
      <w:sz w:val="28"/>
      <w:szCs w:val="28"/>
    </w:rPr>
  </w:style>
  <w:style w:type="paragraph" w:styleId="11">
    <w:name w:val="toc 2"/>
    <w:basedOn w:val="1"/>
    <w:next w:val="1"/>
    <w:qFormat/>
    <w:uiPriority w:val="99"/>
    <w:pPr>
      <w:ind w:left="420" w:leftChars="200"/>
    </w:pPr>
  </w:style>
  <w:style w:type="paragraph" w:styleId="12">
    <w:name w:val="HTML Preformatted"/>
    <w:basedOn w:val="1"/>
    <w:link w:val="31"/>
    <w:semiHidden/>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kern w:val="0"/>
      <w:sz w:val="24"/>
      <w:szCs w:val="24"/>
    </w:rPr>
  </w:style>
  <w:style w:type="paragraph" w:styleId="13">
    <w:name w:val="Normal (Web)"/>
    <w:basedOn w:val="1"/>
    <w:qFormat/>
    <w:uiPriority w:val="99"/>
    <w:pPr>
      <w:widowControl/>
      <w:spacing w:before="100" w:beforeAutospacing="1" w:after="100" w:afterAutospacing="1"/>
      <w:jc w:val="left"/>
    </w:pPr>
    <w:rPr>
      <w:rFonts w:ascii="??" w:hAnsi="??" w:cs="??"/>
      <w:kern w:val="0"/>
      <w:sz w:val="24"/>
      <w:szCs w:val="24"/>
    </w:rPr>
  </w:style>
  <w:style w:type="paragraph" w:styleId="14">
    <w:name w:val="Title"/>
    <w:basedOn w:val="1"/>
    <w:next w:val="1"/>
    <w:link w:val="32"/>
    <w:qFormat/>
    <w:uiPriority w:val="99"/>
    <w:pPr>
      <w:spacing w:before="240" w:after="60"/>
      <w:jc w:val="center"/>
      <w:outlineLvl w:val="0"/>
    </w:pPr>
    <w:rPr>
      <w:rFonts w:ascii="Calibri Light" w:hAnsi="Calibri Light"/>
      <w:b/>
      <w:bCs/>
      <w:sz w:val="32"/>
      <w:szCs w:val="32"/>
    </w:rPr>
  </w:style>
  <w:style w:type="paragraph" w:styleId="15">
    <w:name w:val="annotation subject"/>
    <w:basedOn w:val="6"/>
    <w:next w:val="6"/>
    <w:link w:val="33"/>
    <w:semiHidden/>
    <w:qFormat/>
    <w:uiPriority w:val="99"/>
    <w:rPr>
      <w:b/>
      <w:bCs/>
    </w:rPr>
  </w:style>
  <w:style w:type="table" w:styleId="17">
    <w:name w:val="Table Grid"/>
    <w:basedOn w:val="1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99"/>
    <w:rPr>
      <w:rFonts w:cs="Times New Roman"/>
      <w:b/>
      <w:bCs/>
    </w:rPr>
  </w:style>
  <w:style w:type="character" w:styleId="20">
    <w:name w:val="page number"/>
    <w:basedOn w:val="18"/>
    <w:qFormat/>
    <w:locked/>
    <w:uiPriority w:val="99"/>
    <w:rPr>
      <w:rFonts w:cs="Times New Roman"/>
    </w:rPr>
  </w:style>
  <w:style w:type="character" w:styleId="21">
    <w:name w:val="Emphasis"/>
    <w:basedOn w:val="18"/>
    <w:qFormat/>
    <w:uiPriority w:val="99"/>
    <w:rPr>
      <w:rFonts w:cs="Times New Roman"/>
      <w:i/>
      <w:iCs/>
    </w:rPr>
  </w:style>
  <w:style w:type="character" w:styleId="22">
    <w:name w:val="Hyperlink"/>
    <w:basedOn w:val="18"/>
    <w:qFormat/>
    <w:uiPriority w:val="99"/>
    <w:rPr>
      <w:rFonts w:cs="Times New Roman"/>
      <w:color w:val="0563C1"/>
      <w:u w:val="single"/>
    </w:rPr>
  </w:style>
  <w:style w:type="character" w:styleId="23">
    <w:name w:val="annotation reference"/>
    <w:basedOn w:val="18"/>
    <w:semiHidden/>
    <w:qFormat/>
    <w:uiPriority w:val="99"/>
    <w:rPr>
      <w:rFonts w:cs="Times New Roman"/>
      <w:sz w:val="21"/>
      <w:szCs w:val="21"/>
    </w:rPr>
  </w:style>
  <w:style w:type="character" w:customStyle="1" w:styleId="24">
    <w:name w:val="Heading 1 Char"/>
    <w:basedOn w:val="18"/>
    <w:link w:val="2"/>
    <w:qFormat/>
    <w:locked/>
    <w:uiPriority w:val="99"/>
    <w:rPr>
      <w:rFonts w:ascii="Times New Roman" w:hAnsi="Times New Roman" w:eastAsia="黑体" w:cs="Times New Roman"/>
      <w:b/>
      <w:bCs/>
      <w:kern w:val="44"/>
      <w:sz w:val="44"/>
      <w:szCs w:val="44"/>
    </w:rPr>
  </w:style>
  <w:style w:type="character" w:customStyle="1" w:styleId="25">
    <w:name w:val="Heading 2 Char"/>
    <w:basedOn w:val="18"/>
    <w:link w:val="3"/>
    <w:qFormat/>
    <w:locked/>
    <w:uiPriority w:val="99"/>
    <w:rPr>
      <w:rFonts w:ascii="Times New Roman" w:hAnsi="Times New Roman" w:eastAsia="黑体" w:cs="Times New Roman"/>
      <w:bCs/>
      <w:sz w:val="32"/>
      <w:szCs w:val="32"/>
    </w:rPr>
  </w:style>
  <w:style w:type="character" w:customStyle="1" w:styleId="26">
    <w:name w:val="Heading 3 Char"/>
    <w:basedOn w:val="18"/>
    <w:link w:val="4"/>
    <w:qFormat/>
    <w:locked/>
    <w:uiPriority w:val="99"/>
    <w:rPr>
      <w:rFonts w:ascii="Calibri" w:hAnsi="Calibri" w:eastAsia="楷体_GB2312" w:cs="Times New Roman"/>
      <w:b/>
      <w:bCs/>
      <w:sz w:val="32"/>
      <w:szCs w:val="32"/>
    </w:rPr>
  </w:style>
  <w:style w:type="character" w:customStyle="1" w:styleId="27">
    <w:name w:val="Comment Text Char"/>
    <w:basedOn w:val="18"/>
    <w:link w:val="6"/>
    <w:semiHidden/>
    <w:qFormat/>
    <w:locked/>
    <w:uiPriority w:val="99"/>
    <w:rPr>
      <w:rFonts w:ascii="Calibri" w:hAnsi="Calibri" w:cs="Times New Roman"/>
    </w:rPr>
  </w:style>
  <w:style w:type="character" w:customStyle="1" w:styleId="28">
    <w:name w:val="Balloon Text Char"/>
    <w:basedOn w:val="18"/>
    <w:link w:val="7"/>
    <w:semiHidden/>
    <w:qFormat/>
    <w:locked/>
    <w:uiPriority w:val="99"/>
    <w:rPr>
      <w:rFonts w:ascii="Calibri" w:hAnsi="Calibri" w:cs="Times New Roman"/>
      <w:sz w:val="18"/>
      <w:szCs w:val="18"/>
    </w:rPr>
  </w:style>
  <w:style w:type="character" w:customStyle="1" w:styleId="29">
    <w:name w:val="Footer Char"/>
    <w:basedOn w:val="18"/>
    <w:link w:val="8"/>
    <w:qFormat/>
    <w:locked/>
    <w:uiPriority w:val="99"/>
    <w:rPr>
      <w:rFonts w:cs="Times New Roman"/>
      <w:sz w:val="18"/>
      <w:szCs w:val="18"/>
    </w:rPr>
  </w:style>
  <w:style w:type="character" w:customStyle="1" w:styleId="30">
    <w:name w:val="Header Char"/>
    <w:basedOn w:val="18"/>
    <w:link w:val="9"/>
    <w:qFormat/>
    <w:locked/>
    <w:uiPriority w:val="99"/>
    <w:rPr>
      <w:rFonts w:cs="Times New Roman"/>
      <w:sz w:val="18"/>
      <w:szCs w:val="18"/>
    </w:rPr>
  </w:style>
  <w:style w:type="character" w:customStyle="1" w:styleId="31">
    <w:name w:val="HTML Preformatted Char"/>
    <w:basedOn w:val="18"/>
    <w:link w:val="12"/>
    <w:semiHidden/>
    <w:qFormat/>
    <w:locked/>
    <w:uiPriority w:val="99"/>
    <w:rPr>
      <w:rFonts w:ascii="Courier New" w:hAnsi="Courier New" w:cs="Courier New"/>
      <w:sz w:val="20"/>
      <w:szCs w:val="20"/>
    </w:rPr>
  </w:style>
  <w:style w:type="character" w:customStyle="1" w:styleId="32">
    <w:name w:val="Title Char"/>
    <w:basedOn w:val="18"/>
    <w:link w:val="14"/>
    <w:qFormat/>
    <w:locked/>
    <w:uiPriority w:val="99"/>
    <w:rPr>
      <w:rFonts w:ascii="Calibri Light" w:hAnsi="Calibri Light" w:cs="Times New Roman"/>
      <w:b/>
      <w:bCs/>
      <w:sz w:val="32"/>
      <w:szCs w:val="32"/>
    </w:rPr>
  </w:style>
  <w:style w:type="character" w:customStyle="1" w:styleId="33">
    <w:name w:val="Comment Subject Char"/>
    <w:basedOn w:val="27"/>
    <w:link w:val="15"/>
    <w:semiHidden/>
    <w:qFormat/>
    <w:locked/>
    <w:uiPriority w:val="99"/>
    <w:rPr>
      <w:b/>
      <w:bCs/>
    </w:rPr>
  </w:style>
  <w:style w:type="paragraph" w:styleId="34">
    <w:name w:val="List Paragraph"/>
    <w:basedOn w:val="1"/>
    <w:qFormat/>
    <w:uiPriority w:val="99"/>
    <w:pPr>
      <w:ind w:firstLine="420" w:firstLineChars="200"/>
    </w:pPr>
  </w:style>
  <w:style w:type="character" w:customStyle="1" w:styleId="35">
    <w:name w:val="fontstyle01"/>
    <w:basedOn w:val="18"/>
    <w:qFormat/>
    <w:uiPriority w:val="99"/>
    <w:rPr>
      <w:rFonts w:ascii="仿宋_GB2312" w:eastAsia="仿宋_GB2312" w:cs="Times New Roman"/>
      <w:color w:val="000000"/>
      <w:sz w:val="32"/>
      <w:szCs w:val="32"/>
    </w:rPr>
  </w:style>
  <w:style w:type="character" w:customStyle="1" w:styleId="36">
    <w:name w:val="bjh-p"/>
    <w:basedOn w:val="18"/>
    <w:qFormat/>
    <w:uiPriority w:val="99"/>
    <w:rPr>
      <w:rFonts w:cs="Times New Roman"/>
    </w:rPr>
  </w:style>
  <w:style w:type="character" w:customStyle="1" w:styleId="37">
    <w:name w:val="fontstyle21"/>
    <w:basedOn w:val="18"/>
    <w:qFormat/>
    <w:uiPriority w:val="99"/>
    <w:rPr>
      <w:rFonts w:ascii="??" w:hAnsi="??" w:cs="Times New Roman"/>
      <w:color w:val="000000"/>
      <w:sz w:val="28"/>
      <w:szCs w:val="28"/>
    </w:rPr>
  </w:style>
  <w:style w:type="character" w:customStyle="1" w:styleId="38">
    <w:name w:val="fontstyle11"/>
    <w:basedOn w:val="18"/>
    <w:qFormat/>
    <w:uiPriority w:val="99"/>
    <w:rPr>
      <w:rFonts w:ascii="E-BX" w:hAnsi="E-BX" w:cs="Times New Roman"/>
      <w:color w:val="000000"/>
      <w:sz w:val="30"/>
      <w:szCs w:val="30"/>
    </w:rPr>
  </w:style>
  <w:style w:type="paragraph" w:customStyle="1" w:styleId="39">
    <w:name w:val="Char1 Char Char Char"/>
    <w:basedOn w:val="1"/>
    <w:qFormat/>
    <w:uiPriority w:val="99"/>
    <w:rPr>
      <w:rFonts w:ascii="Times New Roman" w:hAnsi="Times New Roman"/>
      <w:szCs w:val="20"/>
    </w:rPr>
  </w:style>
  <w:style w:type="character" w:customStyle="1" w:styleId="40">
    <w:name w:val="fontstyle31"/>
    <w:basedOn w:val="18"/>
    <w:qFormat/>
    <w:uiPriority w:val="99"/>
    <w:rPr>
      <w:rFonts w:ascii="E-BZ-PK7488b-Identity-H" w:hAnsi="E-BZ-PK7488b-Identity-H" w:cs="Times New Roman"/>
      <w:color w:val="000000"/>
      <w:sz w:val="30"/>
      <w:szCs w:val="30"/>
    </w:rPr>
  </w:style>
  <w:style w:type="table" w:customStyle="1" w:styleId="41">
    <w:name w:val="网格型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64</Pages>
  <Words>5555</Words>
  <Characters>31670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2022-03-14T13:00:00Z</dcterms:created>
  <dc:creator>dcw</dc:creator>
  <cp:lastModifiedBy>sugon</cp:lastModifiedBy>
  <cp:lastPrinted>2022-04-17T02:31:00Z</cp:lastPrinted>
  <dcterms:modified xsi:type="dcterms:W3CDTF">2022-04-22T11:51:11Z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48DCA55D64CF40979B957F11A9C82260</vt:lpwstr>
  </property>
</Properties>
</file>