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870" w:beforeLines="0" w:after="435" w:afterLines="0"/>
        <w:jc w:val="both"/>
      </w:pPr>
      <w:bookmarkStart w:id="0" w:name="_Toc470606791"/>
      <w:r>
        <w:rPr>
          <w:rFonts w:hint="eastAsia"/>
          <w:lang w:val="en-US" w:eastAsia="zh-CN"/>
        </w:rPr>
        <w:t>　</w:t>
      </w:r>
      <w:bookmarkStart w:id="1" w:name="_GoBack"/>
      <w:bookmarkEnd w:id="1"/>
      <w:r>
        <w:rPr>
          <w:rFonts w:hint="eastAsia"/>
          <w:lang w:val="en-US" w:eastAsia="zh-CN"/>
        </w:rPr>
        <w:t>　　　　　　　　　　　　安阳市</w:t>
      </w:r>
      <w:r>
        <w:rPr>
          <w:rFonts w:hint="eastAsia"/>
        </w:rPr>
        <w:t>粮食</w:t>
      </w:r>
      <w:r>
        <w:rPr>
          <w:rFonts w:hint="eastAsia"/>
          <w:lang w:val="en-US" w:eastAsia="zh-CN"/>
        </w:rPr>
        <w:t>和物资储备</w:t>
      </w:r>
      <w:r>
        <w:rPr>
          <w:rFonts w:hint="eastAsia"/>
        </w:rPr>
        <w:t>局随机抽查事项清单</w:t>
      </w:r>
      <w:bookmarkEnd w:id="0"/>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75"/>
        <w:gridCol w:w="3687"/>
        <w:gridCol w:w="1244"/>
        <w:gridCol w:w="1304"/>
        <w:gridCol w:w="850"/>
        <w:gridCol w:w="711"/>
        <w:gridCol w:w="853"/>
        <w:gridCol w:w="2843"/>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704" w:type="dxa"/>
            <w:noWrap w:val="0"/>
            <w:vAlign w:val="center"/>
          </w:tcPr>
          <w:p>
            <w:pPr>
              <w:adjustRightInd w:val="0"/>
              <w:spacing w:line="360" w:lineRule="exact"/>
              <w:ind w:firstLine="0" w:firstLineChars="0"/>
              <w:jc w:val="center"/>
              <w:rPr>
                <w:rFonts w:eastAsia="黑体" w:cs="Times New Roman"/>
                <w:sz w:val="24"/>
                <w:szCs w:val="24"/>
              </w:rPr>
            </w:pPr>
            <w:r>
              <w:rPr>
                <w:rFonts w:hint="eastAsia" w:eastAsia="黑体" w:cs="Times New Roman"/>
                <w:sz w:val="24"/>
                <w:szCs w:val="24"/>
              </w:rPr>
              <w:t>序号</w:t>
            </w:r>
          </w:p>
        </w:tc>
        <w:tc>
          <w:tcPr>
            <w:tcW w:w="1275" w:type="dxa"/>
            <w:noWrap w:val="0"/>
            <w:vAlign w:val="center"/>
          </w:tcPr>
          <w:p>
            <w:pPr>
              <w:adjustRightInd w:val="0"/>
              <w:spacing w:line="360" w:lineRule="exact"/>
              <w:ind w:firstLine="0" w:firstLineChars="0"/>
              <w:jc w:val="center"/>
              <w:rPr>
                <w:rFonts w:eastAsia="黑体" w:cs="Times New Roman"/>
                <w:sz w:val="24"/>
                <w:szCs w:val="24"/>
              </w:rPr>
            </w:pPr>
            <w:r>
              <w:rPr>
                <w:rFonts w:hint="eastAsia" w:eastAsia="黑体" w:cs="Times New Roman"/>
                <w:sz w:val="24"/>
                <w:szCs w:val="24"/>
              </w:rPr>
              <w:t>抽查事项名称</w:t>
            </w:r>
          </w:p>
        </w:tc>
        <w:tc>
          <w:tcPr>
            <w:tcW w:w="3687" w:type="dxa"/>
            <w:noWrap w:val="0"/>
            <w:vAlign w:val="center"/>
          </w:tcPr>
          <w:p>
            <w:pPr>
              <w:adjustRightInd w:val="0"/>
              <w:spacing w:line="360" w:lineRule="exact"/>
              <w:ind w:firstLine="0" w:firstLineChars="0"/>
              <w:jc w:val="center"/>
              <w:rPr>
                <w:rFonts w:eastAsia="黑体" w:cs="Times New Roman"/>
                <w:sz w:val="24"/>
                <w:szCs w:val="24"/>
              </w:rPr>
            </w:pPr>
            <w:r>
              <w:rPr>
                <w:rFonts w:hint="eastAsia" w:eastAsia="黑体" w:cs="Times New Roman"/>
                <w:sz w:val="24"/>
                <w:szCs w:val="24"/>
              </w:rPr>
              <w:t>抽查依据</w:t>
            </w:r>
          </w:p>
        </w:tc>
        <w:tc>
          <w:tcPr>
            <w:tcW w:w="1244" w:type="dxa"/>
            <w:noWrap w:val="0"/>
            <w:vAlign w:val="center"/>
          </w:tcPr>
          <w:p>
            <w:pPr>
              <w:adjustRightInd w:val="0"/>
              <w:spacing w:line="360" w:lineRule="exact"/>
              <w:ind w:firstLine="0" w:firstLineChars="0"/>
              <w:jc w:val="center"/>
              <w:rPr>
                <w:rFonts w:eastAsia="黑体" w:cs="Times New Roman"/>
                <w:sz w:val="24"/>
                <w:szCs w:val="24"/>
              </w:rPr>
            </w:pPr>
            <w:r>
              <w:rPr>
                <w:rFonts w:hint="eastAsia" w:eastAsia="黑体" w:cs="Times New Roman"/>
                <w:sz w:val="24"/>
                <w:szCs w:val="24"/>
              </w:rPr>
              <w:t>抽查主体</w:t>
            </w:r>
          </w:p>
        </w:tc>
        <w:tc>
          <w:tcPr>
            <w:tcW w:w="1304" w:type="dxa"/>
            <w:noWrap w:val="0"/>
            <w:vAlign w:val="center"/>
          </w:tcPr>
          <w:p>
            <w:pPr>
              <w:adjustRightInd w:val="0"/>
              <w:spacing w:line="360" w:lineRule="exact"/>
              <w:ind w:firstLine="0" w:firstLineChars="0"/>
              <w:jc w:val="center"/>
              <w:rPr>
                <w:rFonts w:eastAsia="黑体" w:cs="Times New Roman"/>
                <w:sz w:val="24"/>
                <w:szCs w:val="24"/>
              </w:rPr>
            </w:pPr>
            <w:r>
              <w:rPr>
                <w:rFonts w:hint="eastAsia" w:eastAsia="黑体" w:cs="Times New Roman"/>
                <w:sz w:val="24"/>
                <w:szCs w:val="24"/>
              </w:rPr>
              <w:t>抽查对象</w:t>
            </w:r>
          </w:p>
        </w:tc>
        <w:tc>
          <w:tcPr>
            <w:tcW w:w="850" w:type="dxa"/>
            <w:noWrap w:val="0"/>
            <w:vAlign w:val="center"/>
          </w:tcPr>
          <w:p>
            <w:pPr>
              <w:adjustRightInd w:val="0"/>
              <w:spacing w:line="360" w:lineRule="exact"/>
              <w:ind w:firstLine="0" w:firstLineChars="0"/>
              <w:jc w:val="center"/>
              <w:rPr>
                <w:rFonts w:eastAsia="黑体" w:cs="Times New Roman"/>
                <w:sz w:val="24"/>
                <w:szCs w:val="24"/>
              </w:rPr>
            </w:pPr>
            <w:r>
              <w:rPr>
                <w:rFonts w:hint="eastAsia" w:eastAsia="黑体" w:cs="Times New Roman"/>
                <w:sz w:val="24"/>
                <w:szCs w:val="24"/>
              </w:rPr>
              <w:t>抽查比例</w:t>
            </w:r>
          </w:p>
        </w:tc>
        <w:tc>
          <w:tcPr>
            <w:tcW w:w="711" w:type="dxa"/>
            <w:noWrap w:val="0"/>
            <w:vAlign w:val="center"/>
          </w:tcPr>
          <w:p>
            <w:pPr>
              <w:adjustRightInd w:val="0"/>
              <w:spacing w:line="360" w:lineRule="exact"/>
              <w:ind w:firstLine="0" w:firstLineChars="0"/>
              <w:jc w:val="center"/>
              <w:rPr>
                <w:rFonts w:eastAsia="黑体" w:cs="Times New Roman"/>
                <w:sz w:val="24"/>
                <w:szCs w:val="24"/>
              </w:rPr>
            </w:pPr>
            <w:r>
              <w:rPr>
                <w:rFonts w:hint="eastAsia" w:eastAsia="黑体" w:cs="Times New Roman"/>
                <w:sz w:val="24"/>
                <w:szCs w:val="24"/>
              </w:rPr>
              <w:t>抽查频次</w:t>
            </w:r>
          </w:p>
        </w:tc>
        <w:tc>
          <w:tcPr>
            <w:tcW w:w="853" w:type="dxa"/>
            <w:noWrap w:val="0"/>
            <w:vAlign w:val="center"/>
          </w:tcPr>
          <w:p>
            <w:pPr>
              <w:adjustRightInd w:val="0"/>
              <w:spacing w:line="360" w:lineRule="exact"/>
              <w:ind w:firstLine="0" w:firstLineChars="0"/>
              <w:jc w:val="center"/>
              <w:rPr>
                <w:rFonts w:eastAsia="黑体" w:cs="Times New Roman"/>
                <w:sz w:val="24"/>
                <w:szCs w:val="24"/>
              </w:rPr>
            </w:pPr>
            <w:r>
              <w:rPr>
                <w:rFonts w:hint="eastAsia" w:eastAsia="黑体" w:cs="Times New Roman"/>
                <w:sz w:val="24"/>
                <w:szCs w:val="24"/>
              </w:rPr>
              <w:t>抽查方式</w:t>
            </w:r>
          </w:p>
        </w:tc>
        <w:tc>
          <w:tcPr>
            <w:tcW w:w="2843" w:type="dxa"/>
            <w:noWrap w:val="0"/>
            <w:vAlign w:val="center"/>
          </w:tcPr>
          <w:p>
            <w:pPr>
              <w:adjustRightInd w:val="0"/>
              <w:spacing w:line="360" w:lineRule="exact"/>
              <w:ind w:firstLine="0" w:firstLineChars="0"/>
              <w:jc w:val="center"/>
              <w:rPr>
                <w:rFonts w:eastAsia="黑体" w:cs="Times New Roman"/>
                <w:sz w:val="24"/>
                <w:szCs w:val="24"/>
              </w:rPr>
            </w:pPr>
            <w:r>
              <w:rPr>
                <w:rFonts w:hint="eastAsia" w:eastAsia="黑体" w:cs="Times New Roman"/>
                <w:sz w:val="24"/>
                <w:szCs w:val="24"/>
              </w:rPr>
              <w:t>抽查内容</w:t>
            </w:r>
          </w:p>
        </w:tc>
        <w:tc>
          <w:tcPr>
            <w:tcW w:w="700" w:type="dxa"/>
            <w:noWrap w:val="0"/>
            <w:vAlign w:val="center"/>
          </w:tcPr>
          <w:p>
            <w:pPr>
              <w:adjustRightInd w:val="0"/>
              <w:spacing w:line="240" w:lineRule="auto"/>
              <w:ind w:firstLine="0" w:firstLineChars="0"/>
              <w:jc w:val="center"/>
              <w:rPr>
                <w:rFonts w:eastAsia="黑体" w:cs="Times New Roman"/>
                <w:sz w:val="24"/>
                <w:szCs w:val="24"/>
              </w:rPr>
            </w:pPr>
            <w:r>
              <w:rPr>
                <w:rFonts w:hint="eastAsia" w:eastAsia="黑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704" w:type="dxa"/>
            <w:noWrap w:val="0"/>
            <w:vAlign w:val="center"/>
          </w:tcPr>
          <w:p>
            <w:pPr>
              <w:adjustRightInd w:val="0"/>
              <w:spacing w:line="360" w:lineRule="exact"/>
              <w:ind w:firstLine="0" w:firstLineChars="0"/>
              <w:jc w:val="center"/>
              <w:rPr>
                <w:rFonts w:eastAsia="宋体" w:cs="Times New Roman"/>
                <w:sz w:val="24"/>
                <w:szCs w:val="24"/>
              </w:rPr>
            </w:pPr>
            <w:r>
              <w:rPr>
                <w:rFonts w:eastAsia="宋体" w:cs="Times New Roman"/>
                <w:sz w:val="24"/>
                <w:szCs w:val="24"/>
              </w:rPr>
              <w:t>1</w:t>
            </w:r>
          </w:p>
        </w:tc>
        <w:tc>
          <w:tcPr>
            <w:tcW w:w="1275" w:type="dxa"/>
            <w:noWrap w:val="0"/>
            <w:vAlign w:val="center"/>
          </w:tcPr>
          <w:p>
            <w:pPr>
              <w:adjustRightInd w:val="0"/>
              <w:spacing w:line="360" w:lineRule="exact"/>
              <w:ind w:firstLine="0" w:firstLineChars="0"/>
              <w:jc w:val="left"/>
              <w:rPr>
                <w:rFonts w:eastAsia="宋体" w:cs="Times New Roman"/>
                <w:sz w:val="24"/>
                <w:szCs w:val="24"/>
              </w:rPr>
            </w:pPr>
            <w:r>
              <w:rPr>
                <w:rFonts w:hint="eastAsia" w:eastAsia="宋体" w:cs="Times New Roman"/>
                <w:sz w:val="24"/>
                <w:szCs w:val="24"/>
              </w:rPr>
              <w:t>粮食库存检查</w:t>
            </w:r>
          </w:p>
        </w:tc>
        <w:tc>
          <w:tcPr>
            <w:tcW w:w="3687" w:type="dxa"/>
            <w:noWrap w:val="0"/>
            <w:vAlign w:val="center"/>
          </w:tcPr>
          <w:p>
            <w:pPr>
              <w:adjustRightInd w:val="0"/>
              <w:spacing w:line="360" w:lineRule="exact"/>
              <w:ind w:firstLine="0" w:firstLineChars="0"/>
              <w:jc w:val="left"/>
              <w:rPr>
                <w:rFonts w:eastAsia="宋体" w:cs="Times New Roman"/>
                <w:sz w:val="24"/>
                <w:szCs w:val="24"/>
              </w:rPr>
            </w:pPr>
            <w:r>
              <w:rPr>
                <w:rFonts w:hint="eastAsia" w:eastAsia="宋体" w:cs="Times New Roman"/>
                <w:sz w:val="24"/>
                <w:szCs w:val="24"/>
              </w:rPr>
              <w:t>《粮食流通管理条例》第三十</w:t>
            </w:r>
            <w:r>
              <w:rPr>
                <w:rFonts w:hint="eastAsia" w:cs="Times New Roman"/>
                <w:sz w:val="24"/>
                <w:szCs w:val="24"/>
                <w:lang w:val="en-US" w:eastAsia="zh-CN"/>
              </w:rPr>
              <w:t>八</w:t>
            </w:r>
            <w:r>
              <w:rPr>
                <w:rFonts w:hint="eastAsia" w:eastAsia="宋体" w:cs="Times New Roman"/>
                <w:sz w:val="24"/>
                <w:szCs w:val="24"/>
              </w:rPr>
              <w:t>条第一款：粮食行政管理部门依照本条例对粮食经营者从事粮食收购、储存、运输活动和政策性用粮的购销活动，以及执行国家粮食流通统计制度的情况进行监督检查。</w:t>
            </w:r>
          </w:p>
        </w:tc>
        <w:tc>
          <w:tcPr>
            <w:tcW w:w="1244" w:type="dxa"/>
            <w:noWrap w:val="0"/>
            <w:vAlign w:val="center"/>
          </w:tcPr>
          <w:p>
            <w:pPr>
              <w:adjustRightInd w:val="0"/>
              <w:spacing w:line="360" w:lineRule="exact"/>
              <w:ind w:firstLine="0" w:firstLineChars="0"/>
              <w:jc w:val="center"/>
              <w:rPr>
                <w:rFonts w:eastAsia="宋体" w:cs="Times New Roman"/>
                <w:sz w:val="24"/>
                <w:szCs w:val="24"/>
              </w:rPr>
            </w:pPr>
            <w:r>
              <w:rPr>
                <w:rFonts w:hint="eastAsia" w:cs="Times New Roman"/>
                <w:sz w:val="24"/>
                <w:szCs w:val="24"/>
                <w:lang w:val="en-US" w:eastAsia="zh-CN"/>
              </w:rPr>
              <w:t>市</w:t>
            </w:r>
            <w:r>
              <w:rPr>
                <w:rFonts w:hint="eastAsia" w:eastAsia="宋体" w:cs="Times New Roman"/>
                <w:sz w:val="24"/>
                <w:szCs w:val="24"/>
              </w:rPr>
              <w:t>粮食局</w:t>
            </w:r>
          </w:p>
        </w:tc>
        <w:tc>
          <w:tcPr>
            <w:tcW w:w="1304" w:type="dxa"/>
            <w:noWrap w:val="0"/>
            <w:vAlign w:val="center"/>
          </w:tcPr>
          <w:p>
            <w:pPr>
              <w:adjustRightInd w:val="0"/>
              <w:spacing w:line="360" w:lineRule="exact"/>
              <w:ind w:firstLine="0" w:firstLineChars="0"/>
              <w:jc w:val="center"/>
              <w:rPr>
                <w:rFonts w:eastAsia="宋体" w:cs="Times New Roman"/>
                <w:sz w:val="24"/>
                <w:szCs w:val="24"/>
              </w:rPr>
            </w:pPr>
            <w:r>
              <w:rPr>
                <w:rFonts w:hint="eastAsia" w:eastAsia="宋体" w:cs="Times New Roman"/>
                <w:sz w:val="24"/>
                <w:szCs w:val="24"/>
              </w:rPr>
              <w:t>粮食收储企业</w:t>
            </w:r>
          </w:p>
        </w:tc>
        <w:tc>
          <w:tcPr>
            <w:tcW w:w="850" w:type="dxa"/>
            <w:noWrap w:val="0"/>
            <w:vAlign w:val="center"/>
          </w:tcPr>
          <w:p>
            <w:pPr>
              <w:adjustRightInd w:val="0"/>
              <w:spacing w:line="360" w:lineRule="exact"/>
              <w:ind w:firstLine="0" w:firstLineChars="0"/>
              <w:jc w:val="center"/>
              <w:rPr>
                <w:rFonts w:eastAsia="宋体" w:cs="Times New Roman"/>
                <w:sz w:val="24"/>
                <w:szCs w:val="24"/>
              </w:rPr>
            </w:pPr>
            <w:r>
              <w:rPr>
                <w:rFonts w:hint="eastAsia" w:eastAsia="宋体" w:cs="Times New Roman"/>
                <w:sz w:val="24"/>
                <w:szCs w:val="24"/>
              </w:rPr>
              <w:t>根据工作实际确定</w:t>
            </w:r>
          </w:p>
        </w:tc>
        <w:tc>
          <w:tcPr>
            <w:tcW w:w="711" w:type="dxa"/>
            <w:noWrap w:val="0"/>
            <w:vAlign w:val="center"/>
          </w:tcPr>
          <w:p>
            <w:pPr>
              <w:adjustRightInd w:val="0"/>
              <w:spacing w:line="360" w:lineRule="exact"/>
              <w:ind w:firstLine="0" w:firstLineChars="0"/>
              <w:jc w:val="center"/>
              <w:rPr>
                <w:rFonts w:eastAsia="宋体" w:cs="Times New Roman"/>
                <w:sz w:val="24"/>
                <w:szCs w:val="24"/>
              </w:rPr>
            </w:pPr>
            <w:r>
              <w:rPr>
                <w:rFonts w:eastAsia="宋体" w:cs="Times New Roman"/>
                <w:sz w:val="24"/>
                <w:szCs w:val="24"/>
              </w:rPr>
              <w:t>1</w:t>
            </w:r>
            <w:r>
              <w:rPr>
                <w:rFonts w:hint="eastAsia" w:eastAsia="宋体" w:cs="Times New Roman"/>
                <w:sz w:val="24"/>
                <w:szCs w:val="24"/>
              </w:rPr>
              <w:t>次</w:t>
            </w:r>
            <w:r>
              <w:rPr>
                <w:rFonts w:eastAsia="宋体" w:cs="Times New Roman"/>
                <w:sz w:val="24"/>
                <w:szCs w:val="24"/>
              </w:rPr>
              <w:t>/</w:t>
            </w:r>
            <w:r>
              <w:rPr>
                <w:rFonts w:hint="eastAsia" w:eastAsia="宋体" w:cs="Times New Roman"/>
                <w:sz w:val="24"/>
                <w:szCs w:val="24"/>
              </w:rPr>
              <w:t>年</w:t>
            </w:r>
          </w:p>
        </w:tc>
        <w:tc>
          <w:tcPr>
            <w:tcW w:w="853" w:type="dxa"/>
            <w:noWrap w:val="0"/>
            <w:vAlign w:val="center"/>
          </w:tcPr>
          <w:p>
            <w:pPr>
              <w:adjustRightInd w:val="0"/>
              <w:spacing w:line="360" w:lineRule="exact"/>
              <w:ind w:firstLine="0" w:firstLineChars="0"/>
              <w:jc w:val="center"/>
              <w:rPr>
                <w:rFonts w:eastAsia="宋体" w:cs="Times New Roman"/>
                <w:sz w:val="24"/>
                <w:szCs w:val="24"/>
              </w:rPr>
            </w:pPr>
            <w:r>
              <w:rPr>
                <w:rFonts w:hint="eastAsia" w:eastAsia="宋体" w:cs="Times New Roman"/>
                <w:sz w:val="24"/>
                <w:szCs w:val="24"/>
              </w:rPr>
              <w:t>现场检查、</w:t>
            </w:r>
            <w:r>
              <w:rPr>
                <w:rFonts w:eastAsia="宋体" w:cs="Times New Roman"/>
                <w:sz w:val="24"/>
                <w:szCs w:val="24"/>
              </w:rPr>
              <w:t>书面检查等</w:t>
            </w:r>
          </w:p>
        </w:tc>
        <w:tc>
          <w:tcPr>
            <w:tcW w:w="2843" w:type="dxa"/>
            <w:noWrap w:val="0"/>
            <w:vAlign w:val="center"/>
          </w:tcPr>
          <w:p>
            <w:pPr>
              <w:adjustRightInd w:val="0"/>
              <w:spacing w:line="360" w:lineRule="exact"/>
              <w:ind w:firstLine="0" w:firstLineChars="0"/>
              <w:jc w:val="left"/>
              <w:rPr>
                <w:rFonts w:eastAsia="宋体" w:cs="Times New Roman"/>
                <w:sz w:val="24"/>
                <w:szCs w:val="24"/>
              </w:rPr>
            </w:pPr>
            <w:r>
              <w:rPr>
                <w:rFonts w:eastAsia="宋体" w:cs="Times New Roman"/>
                <w:sz w:val="24"/>
                <w:szCs w:val="24"/>
              </w:rPr>
              <w:t>1</w:t>
            </w:r>
            <w:r>
              <w:rPr>
                <w:rFonts w:hint="eastAsia" w:eastAsia="宋体" w:cs="Times New Roman"/>
                <w:sz w:val="24"/>
                <w:szCs w:val="24"/>
              </w:rPr>
              <w:t>、粮食库存账实相符、账账相符情况；</w:t>
            </w:r>
            <w:r>
              <w:rPr>
                <w:rFonts w:eastAsia="宋体" w:cs="Times New Roman"/>
                <w:sz w:val="24"/>
                <w:szCs w:val="24"/>
              </w:rPr>
              <w:t>2</w:t>
            </w:r>
            <w:r>
              <w:rPr>
                <w:rFonts w:hint="eastAsia" w:eastAsia="宋体" w:cs="Times New Roman"/>
                <w:sz w:val="24"/>
                <w:szCs w:val="24"/>
              </w:rPr>
              <w:t>、库存粮食质量安全情况。结合落实粮食质量安全属地管理责任，重点检查</w:t>
            </w:r>
            <w:r>
              <w:rPr>
                <w:rFonts w:hint="eastAsia" w:cs="Times New Roman"/>
                <w:sz w:val="24"/>
                <w:szCs w:val="24"/>
                <w:lang w:val="en-US" w:eastAsia="zh-CN"/>
              </w:rPr>
              <w:t>地方</w:t>
            </w:r>
            <w:r>
              <w:rPr>
                <w:rFonts w:hint="eastAsia" w:eastAsia="宋体" w:cs="Times New Roman"/>
                <w:sz w:val="24"/>
                <w:szCs w:val="24"/>
              </w:rPr>
              <w:t>储备粮、国家临时存储粮质量指标、储存品质指标和食品安全指标；</w:t>
            </w:r>
            <w:r>
              <w:rPr>
                <w:rFonts w:eastAsia="宋体" w:cs="Times New Roman"/>
                <w:sz w:val="24"/>
                <w:szCs w:val="24"/>
              </w:rPr>
              <w:t>3</w:t>
            </w:r>
            <w:r>
              <w:rPr>
                <w:rFonts w:hint="eastAsia" w:eastAsia="宋体" w:cs="Times New Roman"/>
                <w:sz w:val="24"/>
                <w:szCs w:val="24"/>
              </w:rPr>
              <w:t>、储备粮轮换情况；</w:t>
            </w:r>
            <w:r>
              <w:rPr>
                <w:rFonts w:eastAsia="宋体" w:cs="Times New Roman"/>
                <w:sz w:val="24"/>
                <w:szCs w:val="24"/>
              </w:rPr>
              <w:t>4</w:t>
            </w:r>
            <w:r>
              <w:rPr>
                <w:rFonts w:hint="eastAsia" w:eastAsia="宋体" w:cs="Times New Roman"/>
                <w:sz w:val="24"/>
                <w:szCs w:val="24"/>
              </w:rPr>
              <w:t>、企业安全储粮、安全生产等情况；</w:t>
            </w:r>
            <w:r>
              <w:rPr>
                <w:rFonts w:eastAsia="宋体" w:cs="Times New Roman"/>
                <w:sz w:val="24"/>
                <w:szCs w:val="24"/>
              </w:rPr>
              <w:t>5</w:t>
            </w:r>
            <w:r>
              <w:rPr>
                <w:rFonts w:hint="eastAsia" w:eastAsia="宋体" w:cs="Times New Roman"/>
                <w:sz w:val="24"/>
                <w:szCs w:val="24"/>
              </w:rPr>
              <w:t>、法律法规规章规定的其他事项法律法规规章规定的其他事项。</w:t>
            </w:r>
          </w:p>
        </w:tc>
        <w:tc>
          <w:tcPr>
            <w:tcW w:w="700" w:type="dxa"/>
            <w:noWrap w:val="0"/>
            <w:vAlign w:val="center"/>
          </w:tcPr>
          <w:p>
            <w:pPr>
              <w:adjustRightInd w:val="0"/>
              <w:spacing w:line="360" w:lineRule="exact"/>
              <w:ind w:firstLine="0" w:firstLineChars="0"/>
              <w:jc w:val="center"/>
              <w:rPr>
                <w:rFonts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704" w:type="dxa"/>
            <w:noWrap w:val="0"/>
            <w:vAlign w:val="center"/>
          </w:tcPr>
          <w:p>
            <w:pPr>
              <w:adjustRightInd w:val="0"/>
              <w:spacing w:line="360" w:lineRule="exact"/>
              <w:ind w:firstLine="0" w:firstLineChars="0"/>
              <w:jc w:val="center"/>
              <w:rPr>
                <w:rFonts w:eastAsia="宋体" w:cs="Times New Roman"/>
                <w:sz w:val="24"/>
                <w:szCs w:val="24"/>
              </w:rPr>
            </w:pPr>
            <w:r>
              <w:rPr>
                <w:rFonts w:eastAsia="宋体" w:cs="Times New Roman"/>
                <w:sz w:val="24"/>
                <w:szCs w:val="24"/>
              </w:rPr>
              <w:t>2</w:t>
            </w:r>
          </w:p>
        </w:tc>
        <w:tc>
          <w:tcPr>
            <w:tcW w:w="1275" w:type="dxa"/>
            <w:noWrap w:val="0"/>
            <w:vAlign w:val="center"/>
          </w:tcPr>
          <w:p>
            <w:pPr>
              <w:adjustRightInd w:val="0"/>
              <w:spacing w:line="360" w:lineRule="exact"/>
              <w:ind w:firstLine="0" w:firstLineChars="0"/>
              <w:jc w:val="left"/>
              <w:rPr>
                <w:rFonts w:eastAsia="宋体" w:cs="Times New Roman"/>
                <w:sz w:val="24"/>
                <w:szCs w:val="24"/>
              </w:rPr>
            </w:pPr>
            <w:r>
              <w:rPr>
                <w:rFonts w:hint="eastAsia" w:eastAsia="宋体" w:cs="Times New Roman"/>
                <w:sz w:val="24"/>
                <w:szCs w:val="24"/>
              </w:rPr>
              <w:t>粮食收购活动监督检查</w:t>
            </w:r>
          </w:p>
        </w:tc>
        <w:tc>
          <w:tcPr>
            <w:tcW w:w="3687" w:type="dxa"/>
            <w:noWrap w:val="0"/>
            <w:vAlign w:val="center"/>
          </w:tcPr>
          <w:p>
            <w:pPr>
              <w:adjustRightInd w:val="0"/>
              <w:spacing w:line="360" w:lineRule="exact"/>
              <w:ind w:firstLine="0" w:firstLineChars="0"/>
              <w:jc w:val="left"/>
              <w:rPr>
                <w:rFonts w:eastAsia="宋体" w:cs="Times New Roman"/>
                <w:sz w:val="24"/>
                <w:szCs w:val="24"/>
              </w:rPr>
            </w:pPr>
            <w:r>
              <w:rPr>
                <w:rFonts w:hint="eastAsia" w:eastAsia="宋体" w:cs="Times New Roman"/>
                <w:sz w:val="24"/>
                <w:szCs w:val="24"/>
              </w:rPr>
              <w:t>《粮食流通管理条例》第三十</w:t>
            </w:r>
            <w:r>
              <w:rPr>
                <w:rFonts w:hint="eastAsia" w:cs="Times New Roman"/>
                <w:sz w:val="24"/>
                <w:szCs w:val="24"/>
                <w:lang w:val="en-US" w:eastAsia="zh-CN"/>
              </w:rPr>
              <w:t>八</w:t>
            </w:r>
            <w:r>
              <w:rPr>
                <w:rFonts w:hint="eastAsia" w:eastAsia="宋体" w:cs="Times New Roman"/>
                <w:sz w:val="24"/>
                <w:szCs w:val="24"/>
              </w:rPr>
              <w:t>条第一款：粮食行政管理部门依照本条例对粮食经营者从事粮食收购、储存、运输活动和政策性用粮的购销活动，以及执行国家粮食流通统计制度的情况进行监督检查。</w:t>
            </w:r>
          </w:p>
        </w:tc>
        <w:tc>
          <w:tcPr>
            <w:tcW w:w="1244" w:type="dxa"/>
            <w:noWrap w:val="0"/>
            <w:vAlign w:val="center"/>
          </w:tcPr>
          <w:p>
            <w:pPr>
              <w:adjustRightInd w:val="0"/>
              <w:spacing w:line="360" w:lineRule="exact"/>
              <w:ind w:firstLine="0" w:firstLineChars="0"/>
              <w:jc w:val="center"/>
              <w:rPr>
                <w:rFonts w:eastAsia="宋体" w:cs="Times New Roman"/>
                <w:sz w:val="24"/>
                <w:szCs w:val="24"/>
              </w:rPr>
            </w:pPr>
            <w:r>
              <w:rPr>
                <w:rFonts w:hint="eastAsia" w:cs="Times New Roman"/>
                <w:sz w:val="24"/>
                <w:szCs w:val="24"/>
                <w:lang w:val="en-US" w:eastAsia="zh-CN"/>
              </w:rPr>
              <w:t>市</w:t>
            </w:r>
            <w:r>
              <w:rPr>
                <w:rFonts w:hint="eastAsia" w:eastAsia="宋体" w:cs="Times New Roman"/>
                <w:sz w:val="24"/>
                <w:szCs w:val="24"/>
              </w:rPr>
              <w:t>粮食局</w:t>
            </w:r>
          </w:p>
        </w:tc>
        <w:tc>
          <w:tcPr>
            <w:tcW w:w="1304" w:type="dxa"/>
            <w:noWrap w:val="0"/>
            <w:vAlign w:val="center"/>
          </w:tcPr>
          <w:p>
            <w:pPr>
              <w:adjustRightInd w:val="0"/>
              <w:spacing w:line="360" w:lineRule="exact"/>
              <w:ind w:firstLine="0" w:firstLineChars="0"/>
              <w:jc w:val="center"/>
              <w:rPr>
                <w:rFonts w:eastAsia="宋体" w:cs="Times New Roman"/>
                <w:sz w:val="24"/>
                <w:szCs w:val="24"/>
              </w:rPr>
            </w:pPr>
            <w:r>
              <w:rPr>
                <w:rFonts w:hint="eastAsia" w:eastAsia="宋体" w:cs="Times New Roman"/>
                <w:sz w:val="24"/>
                <w:szCs w:val="24"/>
              </w:rPr>
              <w:t>从事粮食收购活动的经营者</w:t>
            </w:r>
          </w:p>
        </w:tc>
        <w:tc>
          <w:tcPr>
            <w:tcW w:w="850" w:type="dxa"/>
            <w:noWrap w:val="0"/>
            <w:vAlign w:val="center"/>
          </w:tcPr>
          <w:p>
            <w:pPr>
              <w:adjustRightInd w:val="0"/>
              <w:spacing w:line="360" w:lineRule="exact"/>
              <w:ind w:firstLine="0" w:firstLineChars="0"/>
              <w:jc w:val="center"/>
              <w:rPr>
                <w:rFonts w:eastAsia="宋体" w:cs="Times New Roman"/>
                <w:sz w:val="24"/>
                <w:szCs w:val="24"/>
              </w:rPr>
            </w:pPr>
            <w:r>
              <w:rPr>
                <w:rFonts w:hint="eastAsia" w:cs="Times New Roman"/>
                <w:sz w:val="24"/>
                <w:szCs w:val="24"/>
                <w:lang w:val="en-US" w:eastAsia="zh-CN"/>
              </w:rPr>
              <w:t>5</w:t>
            </w:r>
            <w:r>
              <w:rPr>
                <w:rFonts w:eastAsia="宋体" w:cs="Times New Roman"/>
                <w:sz w:val="24"/>
                <w:szCs w:val="24"/>
              </w:rPr>
              <w:t>%</w:t>
            </w:r>
          </w:p>
        </w:tc>
        <w:tc>
          <w:tcPr>
            <w:tcW w:w="711" w:type="dxa"/>
            <w:noWrap w:val="0"/>
            <w:vAlign w:val="center"/>
          </w:tcPr>
          <w:p>
            <w:pPr>
              <w:adjustRightInd w:val="0"/>
              <w:spacing w:line="360" w:lineRule="exact"/>
              <w:ind w:firstLine="0" w:firstLineChars="0"/>
              <w:jc w:val="center"/>
              <w:rPr>
                <w:rFonts w:eastAsia="宋体" w:cs="Times New Roman"/>
                <w:sz w:val="24"/>
                <w:szCs w:val="24"/>
              </w:rPr>
            </w:pPr>
            <w:r>
              <w:rPr>
                <w:rFonts w:eastAsia="宋体" w:cs="Times New Roman"/>
                <w:sz w:val="24"/>
                <w:szCs w:val="24"/>
              </w:rPr>
              <w:t>2</w:t>
            </w:r>
            <w:r>
              <w:rPr>
                <w:rFonts w:hint="eastAsia" w:eastAsia="宋体" w:cs="Times New Roman"/>
                <w:sz w:val="24"/>
                <w:szCs w:val="24"/>
              </w:rPr>
              <w:t>次</w:t>
            </w:r>
            <w:r>
              <w:rPr>
                <w:rFonts w:eastAsia="宋体" w:cs="Times New Roman"/>
                <w:sz w:val="24"/>
                <w:szCs w:val="24"/>
              </w:rPr>
              <w:t>/</w:t>
            </w:r>
            <w:r>
              <w:rPr>
                <w:rFonts w:hint="eastAsia" w:eastAsia="宋体" w:cs="Times New Roman"/>
                <w:sz w:val="24"/>
                <w:szCs w:val="24"/>
              </w:rPr>
              <w:t>年</w:t>
            </w:r>
          </w:p>
        </w:tc>
        <w:tc>
          <w:tcPr>
            <w:tcW w:w="853" w:type="dxa"/>
            <w:noWrap w:val="0"/>
            <w:vAlign w:val="center"/>
          </w:tcPr>
          <w:p>
            <w:pPr>
              <w:adjustRightInd w:val="0"/>
              <w:spacing w:line="360" w:lineRule="exact"/>
              <w:ind w:firstLine="0" w:firstLineChars="0"/>
              <w:jc w:val="center"/>
              <w:rPr>
                <w:rFonts w:eastAsia="宋体" w:cs="Times New Roman"/>
                <w:sz w:val="24"/>
                <w:szCs w:val="24"/>
              </w:rPr>
            </w:pPr>
            <w:r>
              <w:rPr>
                <w:rFonts w:hint="eastAsia" w:eastAsia="宋体" w:cs="Times New Roman"/>
                <w:sz w:val="24"/>
                <w:szCs w:val="24"/>
              </w:rPr>
              <w:t>现场检查、</w:t>
            </w:r>
            <w:r>
              <w:rPr>
                <w:rFonts w:eastAsia="宋体" w:cs="Times New Roman"/>
                <w:sz w:val="24"/>
                <w:szCs w:val="24"/>
              </w:rPr>
              <w:t>书面检查等</w:t>
            </w:r>
          </w:p>
        </w:tc>
        <w:tc>
          <w:tcPr>
            <w:tcW w:w="2843" w:type="dxa"/>
            <w:noWrap w:val="0"/>
            <w:vAlign w:val="center"/>
          </w:tcPr>
          <w:p>
            <w:pPr>
              <w:adjustRightInd w:val="0"/>
              <w:spacing w:line="340" w:lineRule="exact"/>
              <w:ind w:firstLine="0" w:firstLineChars="0"/>
              <w:jc w:val="left"/>
              <w:rPr>
                <w:rFonts w:eastAsia="宋体" w:cs="Times New Roman"/>
                <w:sz w:val="24"/>
                <w:szCs w:val="24"/>
              </w:rPr>
            </w:pPr>
            <w:r>
              <w:rPr>
                <w:rFonts w:eastAsia="宋体" w:cs="Times New Roman"/>
                <w:sz w:val="24"/>
                <w:szCs w:val="24"/>
              </w:rPr>
              <w:t>1</w:t>
            </w:r>
            <w:r>
              <w:rPr>
                <w:rFonts w:hint="eastAsia" w:eastAsia="宋体" w:cs="Times New Roman"/>
                <w:sz w:val="24"/>
                <w:szCs w:val="24"/>
              </w:rPr>
              <w:t>、遵守相关法律法规情况；</w:t>
            </w:r>
            <w:r>
              <w:rPr>
                <w:rFonts w:eastAsia="宋体" w:cs="Times New Roman"/>
                <w:sz w:val="24"/>
                <w:szCs w:val="24"/>
              </w:rPr>
              <w:t>2</w:t>
            </w:r>
            <w:r>
              <w:rPr>
                <w:rFonts w:hint="eastAsia" w:eastAsia="宋体" w:cs="Times New Roman"/>
                <w:sz w:val="24"/>
                <w:szCs w:val="24"/>
              </w:rPr>
              <w:t>、粮食收购资格情况；</w:t>
            </w:r>
            <w:r>
              <w:rPr>
                <w:rFonts w:eastAsia="宋体" w:cs="Times New Roman"/>
                <w:sz w:val="24"/>
                <w:szCs w:val="24"/>
              </w:rPr>
              <w:t>3</w:t>
            </w:r>
            <w:r>
              <w:rPr>
                <w:rFonts w:hint="eastAsia" w:eastAsia="宋体" w:cs="Times New Roman"/>
                <w:sz w:val="24"/>
                <w:szCs w:val="24"/>
              </w:rPr>
              <w:t>、执行五要五不准粮食收购守则情况；</w:t>
            </w:r>
            <w:r>
              <w:rPr>
                <w:rFonts w:eastAsia="宋体" w:cs="Times New Roman"/>
                <w:sz w:val="24"/>
                <w:szCs w:val="24"/>
              </w:rPr>
              <w:t>4</w:t>
            </w:r>
            <w:r>
              <w:rPr>
                <w:rFonts w:hint="eastAsia" w:eastAsia="宋体" w:cs="Times New Roman"/>
                <w:sz w:val="24"/>
                <w:szCs w:val="24"/>
              </w:rPr>
              <w:t>、开展粮食收购政策宣传、验质检斤、粮款支付、报送收购进度等工作情况；</w:t>
            </w:r>
            <w:r>
              <w:rPr>
                <w:rFonts w:eastAsia="宋体" w:cs="Times New Roman"/>
                <w:sz w:val="24"/>
                <w:szCs w:val="24"/>
              </w:rPr>
              <w:t>5</w:t>
            </w:r>
            <w:r>
              <w:rPr>
                <w:rFonts w:hint="eastAsia" w:eastAsia="宋体" w:cs="Times New Roman"/>
                <w:sz w:val="24"/>
                <w:szCs w:val="24"/>
              </w:rPr>
              <w:t>、国家政策性粮食收购主体执行国家最低收购价政策和国家临时收储政策等国家粮食收购政策情况；</w:t>
            </w:r>
            <w:r>
              <w:rPr>
                <w:rFonts w:eastAsia="宋体" w:cs="Times New Roman"/>
                <w:sz w:val="24"/>
                <w:szCs w:val="24"/>
              </w:rPr>
              <w:t>6</w:t>
            </w:r>
            <w:r>
              <w:rPr>
                <w:rFonts w:hint="eastAsia" w:eastAsia="宋体" w:cs="Times New Roman"/>
                <w:sz w:val="24"/>
                <w:szCs w:val="24"/>
              </w:rPr>
              <w:t>、法律法规规章规定的其他事项。</w:t>
            </w:r>
          </w:p>
        </w:tc>
        <w:tc>
          <w:tcPr>
            <w:tcW w:w="700" w:type="dxa"/>
            <w:noWrap w:val="0"/>
            <w:vAlign w:val="center"/>
          </w:tcPr>
          <w:p>
            <w:pPr>
              <w:adjustRightInd w:val="0"/>
              <w:spacing w:line="360" w:lineRule="exact"/>
              <w:ind w:firstLine="0" w:firstLineChars="0"/>
              <w:jc w:val="center"/>
              <w:rPr>
                <w:rFonts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704" w:type="dxa"/>
            <w:noWrap w:val="0"/>
            <w:vAlign w:val="center"/>
          </w:tcPr>
          <w:p>
            <w:pPr>
              <w:adjustRightInd w:val="0"/>
              <w:spacing w:line="360" w:lineRule="exact"/>
              <w:ind w:firstLine="0" w:firstLineChars="0"/>
              <w:jc w:val="center"/>
              <w:rPr>
                <w:rFonts w:eastAsia="宋体" w:cs="Times New Roman"/>
                <w:sz w:val="24"/>
                <w:szCs w:val="24"/>
              </w:rPr>
            </w:pPr>
            <w:r>
              <w:rPr>
                <w:rFonts w:eastAsia="宋体" w:cs="Times New Roman"/>
                <w:sz w:val="24"/>
                <w:szCs w:val="24"/>
              </w:rPr>
              <w:t>3</w:t>
            </w:r>
          </w:p>
        </w:tc>
        <w:tc>
          <w:tcPr>
            <w:tcW w:w="1275" w:type="dxa"/>
            <w:noWrap w:val="0"/>
            <w:vAlign w:val="center"/>
          </w:tcPr>
          <w:p>
            <w:pPr>
              <w:adjustRightInd w:val="0"/>
              <w:spacing w:line="360" w:lineRule="exact"/>
              <w:ind w:firstLine="0" w:firstLineChars="0"/>
              <w:jc w:val="left"/>
              <w:rPr>
                <w:rFonts w:eastAsia="宋体" w:cs="Times New Roman"/>
                <w:sz w:val="24"/>
                <w:szCs w:val="24"/>
              </w:rPr>
            </w:pPr>
            <w:r>
              <w:rPr>
                <w:rFonts w:hint="eastAsia" w:eastAsia="宋体" w:cs="Times New Roman"/>
                <w:sz w:val="24"/>
                <w:szCs w:val="24"/>
              </w:rPr>
              <w:t>省级储备粮监督检查</w:t>
            </w:r>
          </w:p>
        </w:tc>
        <w:tc>
          <w:tcPr>
            <w:tcW w:w="3687" w:type="dxa"/>
            <w:noWrap w:val="0"/>
            <w:vAlign w:val="center"/>
          </w:tcPr>
          <w:p>
            <w:pPr>
              <w:adjustRightInd w:val="0"/>
              <w:spacing w:line="360" w:lineRule="exact"/>
              <w:ind w:firstLine="0" w:firstLineChars="0"/>
              <w:jc w:val="left"/>
              <w:rPr>
                <w:rFonts w:eastAsia="宋体" w:cs="Times New Roman"/>
                <w:sz w:val="24"/>
                <w:szCs w:val="24"/>
              </w:rPr>
            </w:pPr>
            <w:r>
              <w:rPr>
                <w:rFonts w:hint="eastAsia" w:eastAsia="宋体" w:cs="Times New Roman"/>
                <w:sz w:val="24"/>
                <w:szCs w:val="24"/>
              </w:rPr>
              <w:t>《粮食流通管理条例》第三十</w:t>
            </w:r>
            <w:r>
              <w:rPr>
                <w:rFonts w:hint="eastAsia" w:cs="Times New Roman"/>
                <w:sz w:val="24"/>
                <w:szCs w:val="24"/>
                <w:lang w:val="en-US" w:eastAsia="zh-CN"/>
              </w:rPr>
              <w:t>八</w:t>
            </w:r>
            <w:r>
              <w:rPr>
                <w:rFonts w:hint="eastAsia" w:eastAsia="宋体" w:cs="Times New Roman"/>
                <w:sz w:val="24"/>
                <w:szCs w:val="24"/>
              </w:rPr>
              <w:t>条第一款：粮食行政管理部门依照本条例对粮食经营者从事粮食收购、储存、运输活动和政策性用粮的购销活动以及执行国家粮食流通统计制度的情况进行监督检查。</w:t>
            </w:r>
          </w:p>
        </w:tc>
        <w:tc>
          <w:tcPr>
            <w:tcW w:w="1244" w:type="dxa"/>
            <w:noWrap w:val="0"/>
            <w:vAlign w:val="center"/>
          </w:tcPr>
          <w:p>
            <w:pPr>
              <w:adjustRightInd w:val="0"/>
              <w:spacing w:line="360" w:lineRule="exact"/>
              <w:ind w:firstLine="0" w:firstLineChars="0"/>
              <w:jc w:val="center"/>
              <w:rPr>
                <w:rFonts w:eastAsia="宋体" w:cs="Times New Roman"/>
                <w:sz w:val="24"/>
                <w:szCs w:val="24"/>
              </w:rPr>
            </w:pPr>
            <w:r>
              <w:rPr>
                <w:rFonts w:hint="eastAsia" w:cs="Times New Roman"/>
                <w:sz w:val="24"/>
                <w:szCs w:val="24"/>
                <w:lang w:val="en-US" w:eastAsia="zh-CN"/>
              </w:rPr>
              <w:t>市</w:t>
            </w:r>
            <w:r>
              <w:rPr>
                <w:rFonts w:hint="eastAsia" w:eastAsia="宋体" w:cs="Times New Roman"/>
                <w:sz w:val="24"/>
                <w:szCs w:val="24"/>
              </w:rPr>
              <w:t>粮食局</w:t>
            </w:r>
          </w:p>
        </w:tc>
        <w:tc>
          <w:tcPr>
            <w:tcW w:w="1304" w:type="dxa"/>
            <w:noWrap w:val="0"/>
            <w:vAlign w:val="center"/>
          </w:tcPr>
          <w:p>
            <w:pPr>
              <w:adjustRightInd w:val="0"/>
              <w:spacing w:line="360" w:lineRule="exact"/>
              <w:ind w:firstLine="0" w:firstLineChars="0"/>
              <w:jc w:val="center"/>
              <w:rPr>
                <w:rFonts w:eastAsia="宋体" w:cs="Times New Roman"/>
                <w:sz w:val="24"/>
                <w:szCs w:val="24"/>
              </w:rPr>
            </w:pPr>
            <w:r>
              <w:rPr>
                <w:rFonts w:hint="eastAsia" w:cs="Times New Roman"/>
                <w:sz w:val="24"/>
                <w:szCs w:val="24"/>
                <w:lang w:val="en-US" w:eastAsia="zh-CN"/>
              </w:rPr>
              <w:t>市</w:t>
            </w:r>
            <w:r>
              <w:rPr>
                <w:rFonts w:hint="eastAsia" w:eastAsia="宋体" w:cs="Times New Roman"/>
                <w:sz w:val="24"/>
                <w:szCs w:val="24"/>
              </w:rPr>
              <w:t>级储备粮承储企业</w:t>
            </w:r>
          </w:p>
        </w:tc>
        <w:tc>
          <w:tcPr>
            <w:tcW w:w="850" w:type="dxa"/>
            <w:noWrap w:val="0"/>
            <w:vAlign w:val="center"/>
          </w:tcPr>
          <w:p>
            <w:pPr>
              <w:adjustRightInd w:val="0"/>
              <w:spacing w:line="360" w:lineRule="exact"/>
              <w:ind w:firstLine="0" w:firstLineChars="0"/>
              <w:jc w:val="center"/>
              <w:rPr>
                <w:rFonts w:eastAsia="宋体" w:cs="Times New Roman"/>
                <w:sz w:val="24"/>
                <w:szCs w:val="24"/>
              </w:rPr>
            </w:pPr>
            <w:r>
              <w:rPr>
                <w:rFonts w:hint="eastAsia" w:cs="Times New Roman"/>
                <w:sz w:val="24"/>
                <w:szCs w:val="24"/>
                <w:lang w:val="en-US" w:eastAsia="zh-CN"/>
              </w:rPr>
              <w:t>25</w:t>
            </w:r>
            <w:r>
              <w:rPr>
                <w:rFonts w:eastAsia="宋体" w:cs="Times New Roman"/>
                <w:sz w:val="24"/>
                <w:szCs w:val="24"/>
              </w:rPr>
              <w:t>%</w:t>
            </w:r>
          </w:p>
        </w:tc>
        <w:tc>
          <w:tcPr>
            <w:tcW w:w="711" w:type="dxa"/>
            <w:noWrap w:val="0"/>
            <w:vAlign w:val="center"/>
          </w:tcPr>
          <w:p>
            <w:pPr>
              <w:adjustRightInd w:val="0"/>
              <w:spacing w:line="360" w:lineRule="exact"/>
              <w:ind w:firstLine="0" w:firstLineChars="0"/>
              <w:jc w:val="center"/>
              <w:rPr>
                <w:rFonts w:eastAsia="宋体" w:cs="Times New Roman"/>
                <w:sz w:val="24"/>
                <w:szCs w:val="24"/>
              </w:rPr>
            </w:pPr>
            <w:r>
              <w:rPr>
                <w:rFonts w:eastAsia="宋体" w:cs="Times New Roman"/>
                <w:sz w:val="24"/>
                <w:szCs w:val="24"/>
              </w:rPr>
              <w:t>1</w:t>
            </w:r>
            <w:r>
              <w:rPr>
                <w:rFonts w:hint="eastAsia" w:eastAsia="宋体" w:cs="Times New Roman"/>
                <w:sz w:val="24"/>
                <w:szCs w:val="24"/>
              </w:rPr>
              <w:t>次</w:t>
            </w:r>
            <w:r>
              <w:rPr>
                <w:rFonts w:eastAsia="宋体" w:cs="Times New Roman"/>
                <w:sz w:val="24"/>
                <w:szCs w:val="24"/>
              </w:rPr>
              <w:t>/</w:t>
            </w:r>
            <w:r>
              <w:rPr>
                <w:rFonts w:hint="eastAsia" w:eastAsia="宋体" w:cs="Times New Roman"/>
                <w:sz w:val="24"/>
                <w:szCs w:val="24"/>
              </w:rPr>
              <w:t>年</w:t>
            </w:r>
          </w:p>
        </w:tc>
        <w:tc>
          <w:tcPr>
            <w:tcW w:w="853" w:type="dxa"/>
            <w:noWrap w:val="0"/>
            <w:vAlign w:val="center"/>
          </w:tcPr>
          <w:p>
            <w:pPr>
              <w:adjustRightInd w:val="0"/>
              <w:spacing w:line="360" w:lineRule="exact"/>
              <w:ind w:firstLine="0" w:firstLineChars="0"/>
              <w:jc w:val="center"/>
              <w:rPr>
                <w:rFonts w:eastAsia="宋体" w:cs="Times New Roman"/>
                <w:sz w:val="24"/>
                <w:szCs w:val="24"/>
              </w:rPr>
            </w:pPr>
            <w:r>
              <w:rPr>
                <w:rFonts w:hint="eastAsia" w:eastAsia="宋体" w:cs="Times New Roman"/>
                <w:sz w:val="24"/>
                <w:szCs w:val="24"/>
              </w:rPr>
              <w:t>现场检查、</w:t>
            </w:r>
            <w:r>
              <w:rPr>
                <w:rFonts w:eastAsia="宋体" w:cs="Times New Roman"/>
                <w:sz w:val="24"/>
                <w:szCs w:val="24"/>
              </w:rPr>
              <w:t>书面检查等</w:t>
            </w:r>
          </w:p>
        </w:tc>
        <w:tc>
          <w:tcPr>
            <w:tcW w:w="2843" w:type="dxa"/>
            <w:noWrap w:val="0"/>
            <w:vAlign w:val="center"/>
          </w:tcPr>
          <w:p>
            <w:pPr>
              <w:adjustRightInd w:val="0"/>
              <w:spacing w:line="340" w:lineRule="exact"/>
              <w:ind w:firstLine="0" w:firstLineChars="0"/>
              <w:jc w:val="left"/>
              <w:rPr>
                <w:rFonts w:eastAsia="宋体" w:cs="Times New Roman"/>
                <w:sz w:val="24"/>
                <w:szCs w:val="24"/>
              </w:rPr>
            </w:pPr>
            <w:r>
              <w:rPr>
                <w:rFonts w:eastAsia="宋体" w:cs="Times New Roman"/>
                <w:sz w:val="24"/>
                <w:szCs w:val="24"/>
              </w:rPr>
              <w:t>1</w:t>
            </w:r>
            <w:r>
              <w:rPr>
                <w:rFonts w:hint="eastAsia" w:eastAsia="宋体" w:cs="Times New Roman"/>
                <w:sz w:val="24"/>
                <w:szCs w:val="24"/>
              </w:rPr>
              <w:t>、执行省级储备粮收购、轮换、销售、动用计划情况；</w:t>
            </w:r>
            <w:r>
              <w:rPr>
                <w:rFonts w:eastAsia="宋体" w:cs="Times New Roman"/>
                <w:sz w:val="24"/>
                <w:szCs w:val="24"/>
              </w:rPr>
              <w:t>2</w:t>
            </w:r>
            <w:r>
              <w:rPr>
                <w:rFonts w:hint="eastAsia" w:eastAsia="宋体" w:cs="Times New Roman"/>
                <w:sz w:val="24"/>
                <w:szCs w:val="24"/>
              </w:rPr>
              <w:t>、执行省政府文件有关省级储备粮经营范围规定的情况；</w:t>
            </w:r>
            <w:r>
              <w:rPr>
                <w:rFonts w:eastAsia="宋体" w:cs="Times New Roman"/>
                <w:sz w:val="24"/>
                <w:szCs w:val="24"/>
              </w:rPr>
              <w:t>3</w:t>
            </w:r>
            <w:r>
              <w:rPr>
                <w:rFonts w:hint="eastAsia" w:eastAsia="宋体" w:cs="Times New Roman"/>
                <w:sz w:val="24"/>
                <w:szCs w:val="24"/>
              </w:rPr>
              <w:t>、省级储备粮库存账实相符、账账相符情况；</w:t>
            </w:r>
            <w:r>
              <w:rPr>
                <w:rFonts w:eastAsia="宋体" w:cs="Times New Roman"/>
                <w:sz w:val="24"/>
                <w:szCs w:val="24"/>
              </w:rPr>
              <w:t>4</w:t>
            </w:r>
            <w:r>
              <w:rPr>
                <w:rFonts w:hint="eastAsia" w:eastAsia="宋体" w:cs="Times New Roman"/>
                <w:sz w:val="24"/>
                <w:szCs w:val="24"/>
              </w:rPr>
              <w:t>、省级储备粮库存质量安全；</w:t>
            </w:r>
            <w:r>
              <w:rPr>
                <w:rFonts w:eastAsia="宋体" w:cs="Times New Roman"/>
                <w:sz w:val="24"/>
                <w:szCs w:val="24"/>
              </w:rPr>
              <w:t>5</w:t>
            </w:r>
            <w:r>
              <w:rPr>
                <w:rFonts w:hint="eastAsia" w:eastAsia="宋体" w:cs="Times New Roman"/>
                <w:sz w:val="24"/>
                <w:szCs w:val="24"/>
              </w:rPr>
              <w:t>、省级储备粮储存安全情况；</w:t>
            </w:r>
            <w:r>
              <w:rPr>
                <w:rFonts w:eastAsia="宋体" w:cs="Times New Roman"/>
                <w:sz w:val="24"/>
                <w:szCs w:val="24"/>
              </w:rPr>
              <w:t>6</w:t>
            </w:r>
            <w:r>
              <w:rPr>
                <w:rFonts w:hint="eastAsia" w:eastAsia="宋体" w:cs="Times New Roman"/>
                <w:sz w:val="24"/>
                <w:szCs w:val="24"/>
              </w:rPr>
              <w:t>、法律法规规章规定的其他事项。</w:t>
            </w:r>
          </w:p>
        </w:tc>
        <w:tc>
          <w:tcPr>
            <w:tcW w:w="700" w:type="dxa"/>
            <w:noWrap w:val="0"/>
            <w:vAlign w:val="center"/>
          </w:tcPr>
          <w:p>
            <w:pPr>
              <w:adjustRightInd w:val="0"/>
              <w:spacing w:line="360" w:lineRule="exact"/>
              <w:ind w:firstLine="0" w:firstLineChars="0"/>
              <w:jc w:val="center"/>
              <w:rPr>
                <w:rFonts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704" w:type="dxa"/>
            <w:noWrap w:val="0"/>
            <w:vAlign w:val="center"/>
          </w:tcPr>
          <w:p>
            <w:pPr>
              <w:adjustRightInd w:val="0"/>
              <w:spacing w:line="360" w:lineRule="exact"/>
              <w:ind w:firstLine="0" w:firstLineChars="0"/>
              <w:jc w:val="center"/>
              <w:rPr>
                <w:rFonts w:eastAsia="宋体" w:cs="Times New Roman"/>
                <w:sz w:val="24"/>
                <w:szCs w:val="24"/>
              </w:rPr>
            </w:pPr>
            <w:r>
              <w:rPr>
                <w:rFonts w:eastAsia="宋体" w:cs="Times New Roman"/>
                <w:sz w:val="24"/>
                <w:szCs w:val="24"/>
              </w:rPr>
              <w:t>4</w:t>
            </w:r>
          </w:p>
        </w:tc>
        <w:tc>
          <w:tcPr>
            <w:tcW w:w="1275" w:type="dxa"/>
            <w:noWrap w:val="0"/>
            <w:vAlign w:val="center"/>
          </w:tcPr>
          <w:p>
            <w:pPr>
              <w:adjustRightInd w:val="0"/>
              <w:spacing w:line="360" w:lineRule="exact"/>
              <w:ind w:firstLine="0" w:firstLineChars="0"/>
              <w:jc w:val="left"/>
              <w:rPr>
                <w:rFonts w:eastAsia="宋体" w:cs="Times New Roman"/>
                <w:sz w:val="24"/>
                <w:szCs w:val="24"/>
              </w:rPr>
            </w:pPr>
            <w:r>
              <w:rPr>
                <w:rFonts w:hint="eastAsia" w:eastAsia="宋体" w:cs="Times New Roman"/>
                <w:sz w:val="24"/>
                <w:szCs w:val="24"/>
              </w:rPr>
              <w:t>政策性粮食销售出库监督检查</w:t>
            </w:r>
          </w:p>
        </w:tc>
        <w:tc>
          <w:tcPr>
            <w:tcW w:w="3687" w:type="dxa"/>
            <w:noWrap w:val="0"/>
            <w:vAlign w:val="center"/>
          </w:tcPr>
          <w:p>
            <w:pPr>
              <w:adjustRightInd w:val="0"/>
              <w:spacing w:line="360" w:lineRule="exact"/>
              <w:ind w:firstLine="0" w:firstLineChars="0"/>
              <w:jc w:val="left"/>
              <w:rPr>
                <w:rFonts w:eastAsia="宋体" w:cs="Times New Roman"/>
                <w:sz w:val="24"/>
                <w:szCs w:val="24"/>
              </w:rPr>
            </w:pPr>
            <w:r>
              <w:rPr>
                <w:rFonts w:hint="eastAsia" w:eastAsia="宋体" w:cs="Times New Roman"/>
                <w:sz w:val="24"/>
                <w:szCs w:val="24"/>
              </w:rPr>
              <w:t>《粮食流通管理条例》第三十</w:t>
            </w:r>
            <w:r>
              <w:rPr>
                <w:rFonts w:hint="eastAsia" w:cs="Times New Roman"/>
                <w:sz w:val="24"/>
                <w:szCs w:val="24"/>
                <w:lang w:val="en-US" w:eastAsia="zh-CN"/>
              </w:rPr>
              <w:t>八</w:t>
            </w:r>
            <w:r>
              <w:rPr>
                <w:rFonts w:hint="eastAsia" w:eastAsia="宋体" w:cs="Times New Roman"/>
                <w:sz w:val="24"/>
                <w:szCs w:val="24"/>
              </w:rPr>
              <w:t>条第一款：粮食行政管理部门依照本条例对粮食经营者从事粮食收购、储存、运输活动和政策性用粮的购销活动，以及执行国家粮食流通统计制度的情况进行监督检查。</w:t>
            </w:r>
          </w:p>
        </w:tc>
        <w:tc>
          <w:tcPr>
            <w:tcW w:w="1244" w:type="dxa"/>
            <w:noWrap w:val="0"/>
            <w:vAlign w:val="center"/>
          </w:tcPr>
          <w:p>
            <w:pPr>
              <w:adjustRightInd w:val="0"/>
              <w:spacing w:line="360" w:lineRule="exact"/>
              <w:ind w:firstLine="0" w:firstLineChars="0"/>
              <w:jc w:val="center"/>
              <w:rPr>
                <w:rFonts w:eastAsia="宋体" w:cs="Times New Roman"/>
                <w:sz w:val="24"/>
                <w:szCs w:val="24"/>
              </w:rPr>
            </w:pPr>
            <w:r>
              <w:rPr>
                <w:rFonts w:hint="eastAsia" w:cs="Times New Roman"/>
                <w:sz w:val="24"/>
                <w:szCs w:val="24"/>
                <w:lang w:val="en-US" w:eastAsia="zh-CN"/>
              </w:rPr>
              <w:t>市</w:t>
            </w:r>
            <w:r>
              <w:rPr>
                <w:rFonts w:hint="eastAsia" w:eastAsia="宋体" w:cs="Times New Roman"/>
                <w:sz w:val="24"/>
                <w:szCs w:val="24"/>
              </w:rPr>
              <w:t>粮食局</w:t>
            </w:r>
          </w:p>
        </w:tc>
        <w:tc>
          <w:tcPr>
            <w:tcW w:w="1304" w:type="dxa"/>
            <w:noWrap w:val="0"/>
            <w:vAlign w:val="center"/>
          </w:tcPr>
          <w:p>
            <w:pPr>
              <w:adjustRightInd w:val="0"/>
              <w:spacing w:line="360" w:lineRule="exact"/>
              <w:ind w:firstLine="0" w:firstLineChars="0"/>
              <w:jc w:val="center"/>
              <w:rPr>
                <w:rFonts w:eastAsia="宋体" w:cs="Times New Roman"/>
                <w:sz w:val="24"/>
                <w:szCs w:val="24"/>
              </w:rPr>
            </w:pPr>
            <w:r>
              <w:rPr>
                <w:rFonts w:hint="eastAsia" w:eastAsia="宋体" w:cs="Times New Roman"/>
                <w:sz w:val="24"/>
                <w:szCs w:val="24"/>
              </w:rPr>
              <w:t>政策性粮食承担企业</w:t>
            </w:r>
          </w:p>
        </w:tc>
        <w:tc>
          <w:tcPr>
            <w:tcW w:w="850" w:type="dxa"/>
            <w:noWrap w:val="0"/>
            <w:vAlign w:val="center"/>
          </w:tcPr>
          <w:p>
            <w:pPr>
              <w:adjustRightInd w:val="0"/>
              <w:spacing w:line="360" w:lineRule="exact"/>
              <w:ind w:firstLine="0" w:firstLineChars="0"/>
              <w:jc w:val="both"/>
              <w:rPr>
                <w:rFonts w:eastAsia="宋体" w:cs="Times New Roman"/>
                <w:sz w:val="24"/>
                <w:szCs w:val="24"/>
              </w:rPr>
            </w:pPr>
            <w:r>
              <w:rPr>
                <w:rFonts w:hint="eastAsia" w:cs="Times New Roman"/>
                <w:sz w:val="24"/>
                <w:szCs w:val="24"/>
                <w:lang w:val="en-US" w:eastAsia="zh-CN"/>
              </w:rPr>
              <w:t>5</w:t>
            </w:r>
            <w:r>
              <w:rPr>
                <w:rFonts w:eastAsia="宋体" w:cs="Times New Roman"/>
                <w:sz w:val="24"/>
                <w:szCs w:val="24"/>
              </w:rPr>
              <w:t>%</w:t>
            </w:r>
          </w:p>
        </w:tc>
        <w:tc>
          <w:tcPr>
            <w:tcW w:w="711" w:type="dxa"/>
            <w:noWrap w:val="0"/>
            <w:vAlign w:val="center"/>
          </w:tcPr>
          <w:p>
            <w:pPr>
              <w:adjustRightInd w:val="0"/>
              <w:spacing w:line="360" w:lineRule="exact"/>
              <w:ind w:firstLine="0" w:firstLineChars="0"/>
              <w:jc w:val="center"/>
              <w:rPr>
                <w:rFonts w:eastAsia="宋体" w:cs="Times New Roman"/>
                <w:sz w:val="24"/>
                <w:szCs w:val="24"/>
              </w:rPr>
            </w:pPr>
            <w:r>
              <w:rPr>
                <w:rFonts w:eastAsia="宋体" w:cs="Times New Roman"/>
                <w:sz w:val="24"/>
                <w:szCs w:val="24"/>
              </w:rPr>
              <w:t>1</w:t>
            </w:r>
            <w:r>
              <w:rPr>
                <w:rFonts w:hint="eastAsia" w:eastAsia="宋体" w:cs="Times New Roman"/>
                <w:sz w:val="24"/>
                <w:szCs w:val="24"/>
              </w:rPr>
              <w:t>次</w:t>
            </w:r>
            <w:r>
              <w:rPr>
                <w:rFonts w:eastAsia="宋体" w:cs="Times New Roman"/>
                <w:sz w:val="24"/>
                <w:szCs w:val="24"/>
              </w:rPr>
              <w:t>/</w:t>
            </w:r>
            <w:r>
              <w:rPr>
                <w:rFonts w:hint="eastAsia" w:eastAsia="宋体" w:cs="Times New Roman"/>
                <w:sz w:val="24"/>
                <w:szCs w:val="24"/>
              </w:rPr>
              <w:t>年</w:t>
            </w:r>
          </w:p>
        </w:tc>
        <w:tc>
          <w:tcPr>
            <w:tcW w:w="853" w:type="dxa"/>
            <w:noWrap w:val="0"/>
            <w:vAlign w:val="center"/>
          </w:tcPr>
          <w:p>
            <w:pPr>
              <w:adjustRightInd w:val="0"/>
              <w:spacing w:line="360" w:lineRule="exact"/>
              <w:ind w:firstLine="0" w:firstLineChars="0"/>
              <w:jc w:val="center"/>
              <w:rPr>
                <w:rFonts w:eastAsia="宋体" w:cs="Times New Roman"/>
                <w:sz w:val="24"/>
                <w:szCs w:val="24"/>
              </w:rPr>
            </w:pPr>
            <w:r>
              <w:rPr>
                <w:rFonts w:hint="eastAsia" w:eastAsia="宋体" w:cs="Times New Roman"/>
                <w:sz w:val="24"/>
                <w:szCs w:val="24"/>
              </w:rPr>
              <w:t>现场检查、</w:t>
            </w:r>
            <w:r>
              <w:rPr>
                <w:rFonts w:eastAsia="宋体" w:cs="Times New Roman"/>
                <w:sz w:val="24"/>
                <w:szCs w:val="24"/>
              </w:rPr>
              <w:t>书面检查等</w:t>
            </w:r>
          </w:p>
        </w:tc>
        <w:tc>
          <w:tcPr>
            <w:tcW w:w="2843" w:type="dxa"/>
            <w:noWrap w:val="0"/>
            <w:vAlign w:val="center"/>
          </w:tcPr>
          <w:p>
            <w:pPr>
              <w:adjustRightInd w:val="0"/>
              <w:spacing w:line="360" w:lineRule="exact"/>
              <w:ind w:firstLine="0" w:firstLineChars="0"/>
              <w:jc w:val="left"/>
              <w:rPr>
                <w:rFonts w:eastAsia="宋体" w:cs="Times New Roman"/>
                <w:sz w:val="24"/>
                <w:szCs w:val="24"/>
              </w:rPr>
            </w:pPr>
            <w:r>
              <w:rPr>
                <w:rFonts w:eastAsia="宋体" w:cs="Times New Roman"/>
                <w:sz w:val="24"/>
                <w:szCs w:val="24"/>
              </w:rPr>
              <w:t>1</w:t>
            </w:r>
            <w:r>
              <w:rPr>
                <w:rFonts w:hint="eastAsia" w:eastAsia="宋体" w:cs="Times New Roman"/>
                <w:sz w:val="24"/>
                <w:szCs w:val="24"/>
              </w:rPr>
              <w:t>、在粮食销售出库过程中是否掺杂使假；</w:t>
            </w:r>
            <w:r>
              <w:rPr>
                <w:rFonts w:eastAsia="宋体" w:cs="Times New Roman"/>
                <w:sz w:val="24"/>
                <w:szCs w:val="24"/>
              </w:rPr>
              <w:t>2</w:t>
            </w:r>
            <w:r>
              <w:rPr>
                <w:rFonts w:hint="eastAsia" w:eastAsia="宋体" w:cs="Times New Roman"/>
                <w:sz w:val="24"/>
                <w:szCs w:val="24"/>
              </w:rPr>
              <w:t>、是否向买方额外索要收取其他费用问题；</w:t>
            </w:r>
            <w:r>
              <w:rPr>
                <w:rFonts w:eastAsia="宋体" w:cs="Times New Roman"/>
                <w:sz w:val="24"/>
                <w:szCs w:val="24"/>
              </w:rPr>
              <w:t>3</w:t>
            </w:r>
            <w:r>
              <w:rPr>
                <w:rFonts w:hint="eastAsia" w:eastAsia="宋体" w:cs="Times New Roman"/>
                <w:sz w:val="24"/>
                <w:szCs w:val="24"/>
              </w:rPr>
              <w:t>、是否不按照交易细则和合同规定的品种、数量、质量及时交割；</w:t>
            </w:r>
            <w:r>
              <w:rPr>
                <w:rFonts w:eastAsia="宋体" w:cs="Times New Roman"/>
                <w:sz w:val="24"/>
                <w:szCs w:val="24"/>
              </w:rPr>
              <w:t>4</w:t>
            </w:r>
            <w:r>
              <w:rPr>
                <w:rFonts w:hint="eastAsia" w:eastAsia="宋体" w:cs="Times New Roman"/>
                <w:sz w:val="24"/>
                <w:szCs w:val="24"/>
              </w:rPr>
              <w:t>、是否设置障碍或以各种借口拖延阻挠出库等；</w:t>
            </w:r>
            <w:r>
              <w:rPr>
                <w:rFonts w:eastAsia="宋体" w:cs="Times New Roman"/>
                <w:sz w:val="24"/>
                <w:szCs w:val="24"/>
              </w:rPr>
              <w:t>5</w:t>
            </w:r>
            <w:r>
              <w:rPr>
                <w:rFonts w:hint="eastAsia" w:eastAsia="宋体" w:cs="Times New Roman"/>
                <w:sz w:val="24"/>
                <w:szCs w:val="24"/>
              </w:rPr>
              <w:t>、买方企业是否执行政策规定、交易规则，是否违背诚信、歪曲事实导致出库纠纷及违约、毁约等；</w:t>
            </w:r>
            <w:r>
              <w:rPr>
                <w:rFonts w:eastAsia="宋体" w:cs="Times New Roman"/>
                <w:sz w:val="24"/>
                <w:szCs w:val="24"/>
              </w:rPr>
              <w:t>6</w:t>
            </w:r>
            <w:r>
              <w:rPr>
                <w:rFonts w:hint="eastAsia" w:eastAsia="宋体" w:cs="Times New Roman"/>
                <w:sz w:val="24"/>
                <w:szCs w:val="24"/>
              </w:rPr>
              <w:t>、其他政策性粮食任务执行情况。</w:t>
            </w:r>
          </w:p>
        </w:tc>
        <w:tc>
          <w:tcPr>
            <w:tcW w:w="700" w:type="dxa"/>
            <w:noWrap w:val="0"/>
            <w:vAlign w:val="center"/>
          </w:tcPr>
          <w:p>
            <w:pPr>
              <w:adjustRightInd w:val="0"/>
              <w:spacing w:line="360" w:lineRule="exact"/>
              <w:ind w:firstLine="0" w:firstLineChars="0"/>
              <w:jc w:val="center"/>
              <w:rPr>
                <w:rFonts w:eastAsia="宋体" w:cs="Times New Roman"/>
                <w:sz w:val="24"/>
                <w:szCs w:val="24"/>
              </w:rPr>
            </w:pPr>
            <w:r>
              <w:rPr>
                <w:rFonts w:hint="eastAsia" w:eastAsia="宋体" w:cs="Times New Roman"/>
                <w:sz w:val="24"/>
                <w:szCs w:val="24"/>
              </w:rPr>
              <w:t>同时结合当年全</w:t>
            </w:r>
            <w:r>
              <w:rPr>
                <w:rFonts w:hint="eastAsia" w:cs="Times New Roman"/>
                <w:sz w:val="24"/>
                <w:szCs w:val="24"/>
                <w:lang w:val="en-US" w:eastAsia="zh-CN"/>
              </w:rPr>
              <w:t>市</w:t>
            </w:r>
            <w:r>
              <w:rPr>
                <w:rFonts w:hint="eastAsia" w:eastAsia="宋体" w:cs="Times New Roman"/>
                <w:sz w:val="24"/>
                <w:szCs w:val="24"/>
              </w:rPr>
              <w:t>市场交易情况确定是否开展检查</w:t>
            </w:r>
          </w:p>
        </w:tc>
      </w:tr>
    </w:tbl>
    <w:p>
      <w:pPr>
        <w:ind w:firstLine="640"/>
      </w:pPr>
    </w:p>
    <w:p/>
    <w:p>
      <w:pPr>
        <w:ind w:right="0" w:rightChars="0" w:firstLine="1744" w:firstLineChars="400"/>
        <w:jc w:val="both"/>
        <w:rPr>
          <w:rFonts w:hint="eastAsia" w:ascii="黑体" w:hAnsi="黑体" w:eastAsia="黑体"/>
          <w:b w:val="0"/>
          <w:i w:val="0"/>
          <w:snapToGrid/>
          <w:color w:val="000000"/>
          <w:spacing w:val="-2"/>
          <w:sz w:val="44"/>
          <w:shd w:val="clear" w:color="auto" w:fill="FFFFFF"/>
          <w:lang w:val="en-US" w:eastAsia="zh-CN"/>
        </w:rPr>
      </w:pPr>
    </w:p>
    <w:p>
      <w:pPr>
        <w:ind w:right="0" w:rightChars="0" w:firstLine="1744" w:firstLineChars="400"/>
        <w:jc w:val="both"/>
        <w:rPr>
          <w:rFonts w:hint="eastAsia" w:ascii="黑体" w:hAnsi="黑体" w:eastAsia="黑体"/>
          <w:b w:val="0"/>
          <w:i w:val="0"/>
          <w:snapToGrid/>
          <w:color w:val="000000"/>
          <w:spacing w:val="-2"/>
          <w:sz w:val="44"/>
          <w:shd w:val="clear" w:color="auto" w:fill="FFFFFF"/>
          <w:lang w:val="en-US" w:eastAsia="zh-CN"/>
        </w:rPr>
      </w:pPr>
    </w:p>
    <w:p/>
    <w:sectPr>
      <w:pgSz w:w="16838" w:h="11906" w:orient="landscape"/>
      <w:pgMar w:top="1800" w:right="1440" w:bottom="1800"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86"/>
    <w:family w:val="auto"/>
    <w:pitch w:val="default"/>
    <w:sig w:usb0="00000000" w:usb1="00000000" w:usb2="00000016" w:usb3="00000000" w:csb0="00040001" w:csb1="00000000"/>
  </w:font>
  <w:font w:name="微软雅黑">
    <w:altName w:val="方正黑体_GBK"/>
    <w:panose1 w:val="020B0503020204020204"/>
    <w:charset w:val="86"/>
    <w:family w:val="auto"/>
    <w:pitch w:val="default"/>
    <w:sig w:usb0="00000000" w:usb1="00000000" w:usb2="00000016" w:usb3="00000000" w:csb0="0004001F" w:csb1="00000000"/>
  </w:font>
  <w:font w:name="仿宋">
    <w:altName w:val="方正仿宋_GBK"/>
    <w:panose1 w:val="02010609060101010101"/>
    <w:charset w:val="86"/>
    <w:family w:val="auto"/>
    <w:pitch w:val="default"/>
    <w:sig w:usb0="00000000" w:usb1="00000000" w:usb2="00000016" w:usb3="00000000" w:csb0="00040001" w:csb1="00000000"/>
  </w:font>
  <w:font w:name="仿宋_GB2312">
    <w:altName w:val="方正仿宋_GBK"/>
    <w:panose1 w:val="02010609030101010101"/>
    <w:charset w:val="01"/>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FF729B"/>
    <w:rsid w:val="02FF729B"/>
    <w:rsid w:val="0FDF5034"/>
    <w:rsid w:val="1401300F"/>
    <w:rsid w:val="144B3AE7"/>
    <w:rsid w:val="2C865140"/>
    <w:rsid w:val="3DD7E019"/>
    <w:rsid w:val="4876582E"/>
    <w:rsid w:val="49AE1B5D"/>
    <w:rsid w:val="49CB0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lang w:val="en-US" w:eastAsia="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Title"/>
    <w:basedOn w:val="1"/>
    <w:next w:val="1"/>
    <w:qFormat/>
    <w:uiPriority w:val="0"/>
    <w:pPr>
      <w:spacing w:before="624" w:beforeLines="200" w:after="312" w:afterLines="100"/>
      <w:ind w:firstLine="0" w:firstLineChars="0"/>
      <w:jc w:val="center"/>
      <w:outlineLvl w:val="0"/>
    </w:pPr>
    <w:rPr>
      <w:rFonts w:ascii="Times New Roman" w:hAnsi="Times New Roman" w:eastAsia="黑体" w:cs="黑体"/>
      <w:bCs/>
      <w:sz w:val="36"/>
      <w:szCs w:val="32"/>
    </w:rPr>
  </w:style>
  <w:style w:type="character" w:styleId="8">
    <w:name w:val="page number"/>
    <w:basedOn w:val="7"/>
    <w:qFormat/>
    <w:uiPriority w:val="0"/>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679</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2022-02-17T10:03:00Z</dcterms:created>
  <dc:creator>administered</dc:creator>
  <cp:lastModifiedBy>sugon</cp:lastModifiedBy>
  <dcterms:modified xsi:type="dcterms:W3CDTF">2022-04-20T09:52:27Z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C5549E8940324795883651EB540E61DC</vt:lpwstr>
  </property>
</Properties>
</file>