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黑体" w:hAnsi="黑体" w:eastAsia="黑体"/>
          <w:b w:val="0"/>
          <w:i w:val="0"/>
          <w:snapToGrid/>
          <w:color w:val="000000"/>
          <w:spacing w:val="-2"/>
          <w:sz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i w:val="0"/>
          <w:snapToGrid/>
          <w:color w:val="000000"/>
          <w:spacing w:val="-2"/>
          <w:sz w:val="44"/>
          <w:shd w:val="clear" w:color="auto" w:fill="FFFFFF"/>
          <w:lang w:val="en-US" w:eastAsia="zh-CN"/>
        </w:rPr>
        <w:t>安阳市</w:t>
      </w:r>
      <w:r>
        <w:rPr>
          <w:rFonts w:hint="eastAsia" w:ascii="黑体" w:hAnsi="黑体" w:eastAsia="黑体"/>
          <w:b w:val="0"/>
          <w:i w:val="0"/>
          <w:snapToGrid/>
          <w:color w:val="000000"/>
          <w:spacing w:val="-2"/>
          <w:sz w:val="44"/>
          <w:shd w:val="clear" w:color="auto" w:fill="FFFFFF"/>
          <w:lang w:eastAsia="zh-CN"/>
        </w:rPr>
        <w:t>粮食流通监督检查随机抽查工作细则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 w:val="0"/>
          <w:i w:val="0"/>
          <w:snapToGrid/>
          <w:color w:val="00923D"/>
          <w:sz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第一条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为创新粮食流通监督检查方式，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增强监管效能，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全面推行“双随机一公开”工作，根据《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河南省粮食流通监督检查随机抽查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工作细则》精神，结合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粮食流通监督检查工作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实际，制定本工作细则。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24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第二条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本细则所称“双随机一公开”工作，是指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市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粮食局依据法律法规规章实施粮食监督检查时，采取随机选派检查人员，随机抽取检查对象并及时公布抽查情况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和查处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结果的活动。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24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 xml:space="preserve">第三条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随机抽查坚持依法监管、公正高效、公开透明、协同推进的原则。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24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第四条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制定随机抽查事项清单。根据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市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政府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公布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的权责清单，梳理依法应当实施的监督检查事项，制定随机抽查事项清单，明确随机抽查事项名称、依据、检查内容、检查方式、适用对象等，并向社会公示。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24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随机抽查事项清单，依据法律、行政法规的立改废释等实际情况进行动态调整。</w:t>
      </w: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line="420" w:lineRule="atLeast"/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</w:pP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</w:t>
      </w: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五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条</w:t>
      </w: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建立粮食经营者随机抽查对象名录库（以下简称随机抽查对象名录库）。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根据不同的检查类型将检查对象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纳入随机抽查对象名录库。</w:t>
      </w: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line="420" w:lineRule="atLeast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随机抽查对象名录库依据监管对象的变动情况，实施动态调整。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0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第六条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建立随机抽查行政执法人员名录库（以下简称执法人员名录库）。取得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河南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省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人民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政府核发的《行政执法证》且具备执法资格的在编人员，纳入执法人员名录库。执法人员名录库应当明确执法人员的姓名、单位、职务、执法证号、执法证有效期、执法类型等，并向社会公示。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0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   执法人员名录库随人员单位变动、岗位调整等因素实施动态调整。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0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第七条</w:t>
      </w: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随机抽查采取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随机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选号方式，从随机抽查对象名录库和执法人员名录库中，随机抽取检查对象，随机选派检查人员。随机抽取过程应全程记录，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邀请局政策法规处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负责监督，抽查活动要保证公平、公正。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32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随机选派执法检查人员时，如果存在应予回避的情形，应重新随机选派执法检查人员。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22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 xml:space="preserve">第八条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随机抽查可采取定向或不定向方式，并合理确定抽查比例和频次。粮食库存检查，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抽查比例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根据检查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时点的库存总量核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定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，一般每年检查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次；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粮食收购活动监督检查，全年抽查比例不少于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从事粮食收购活动的粮食经营者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总数的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0.5%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，每年抽查不少于2次；对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市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级储备粮监督检查，全年抽查比例不少于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省级储备粮承储企业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总数的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%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，每年抽查次数不少于1次；政策性粮食销售出库监督检查，全年抽查比例不少于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承担政策性粮食出库企业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总数的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>%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，每年抽查次数不少于1次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 xml:space="preserve">第九条 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开展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随机抽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查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应当成立检查组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，检查组应至少有两名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具有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行政执法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资格的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工作人员，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val="en-US" w:eastAsia="zh-CN"/>
        </w:rPr>
        <w:t>实行组长负责制。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检查组组长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实行委派制，其他组员随机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选派。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与其他部门开展联合检查、组长由其他部门工作人员担任的，应随机选派省粮食局工作人员参与。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 xml:space="preserve">第十条 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val="en-US" w:eastAsia="zh-CN" w:bidi="ar-SA"/>
        </w:rPr>
        <w:t>从名录库中随机抽取执法检查人员，要综合考虑级别管辖、专业要求和人员在岗等情况。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如存在应予回避的情形，或者因不可抗力等因素不能执行检查时，应重新选派执法检查人员。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第十一条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执法检查人员应当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依法依纪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公正文明执法，如实记录执法检查情况，确保检查结果的合法、准确和真实。随机抽取过程应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认真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记录，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  <w:lang w:eastAsia="zh-CN"/>
        </w:rPr>
        <w:t>有关资料妥善保存，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 w:color="auto"/>
        </w:rPr>
        <w:t>实现责任可追溯。</w:t>
      </w:r>
    </w:p>
    <w:p>
      <w:pPr>
        <w:shd w:val="solid" w:color="FFFFFF" w:fill="auto"/>
        <w:kinsoku/>
        <w:autoSpaceDE/>
        <w:autoSpaceDN w:val="0"/>
        <w:spacing w:before="150" w:beforeLines="0" w:after="150" w:afterLines="0" w:line="585" w:lineRule="atLeast"/>
        <w:ind w:right="225" w:firstLine="0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第十二条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</w:t>
      </w:r>
      <w:r>
        <w:rPr>
          <w:rFonts w:hint="eastAsia" w:ascii="宋体" w:hAnsi="宋体" w:eastAsia="宋体"/>
          <w:b w:val="0"/>
          <w:i w:val="0"/>
          <w:snapToGrid/>
          <w:color w:val="333333"/>
          <w:spacing w:val="0"/>
          <w:sz w:val="32"/>
          <w:shd w:val="clear" w:color="auto" w:fill="FFFFFF"/>
        </w:rPr>
        <w:t>对检查发现的违法违规行为，应当依法依规进行处理，并督促落实整改到位；属于其他部门管辖的，应当及时移送相关部门处理；涉嫌构成犯罪的，依法移送司法机关查处。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635" w:firstLineChars="200"/>
        <w:rPr>
          <w:rFonts w:hint="eastAsia" w:ascii="宋体" w:hAnsi="宋体" w:eastAsia="宋体"/>
          <w:b w:val="0"/>
          <w:i w:val="0"/>
          <w:snapToGrid/>
          <w:color w:val="333333"/>
          <w:spacing w:val="0"/>
          <w:sz w:val="32"/>
          <w:shd w:val="clear" w:color="auto" w:fill="FFFFFF"/>
        </w:rPr>
      </w:pP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 xml:space="preserve">第十三条 </w:t>
      </w:r>
      <w:r>
        <w:rPr>
          <w:rFonts w:hint="eastAsia" w:ascii="宋体" w:hAnsi="宋体" w:eastAsia="宋体"/>
          <w:b w:val="0"/>
          <w:i w:val="0"/>
          <w:snapToGrid/>
          <w:color w:val="333333"/>
          <w:spacing w:val="0"/>
          <w:sz w:val="32"/>
          <w:shd w:val="clear" w:color="auto" w:fill="FFFFFF"/>
        </w:rPr>
        <w:t>建立“一抽查一通报”制度。随机抽查工作结束后，相关责任处室应当及时完成检查报告。检查报告包括检查时间、检查内容、检查情况、处理意见和建议等事项。抽查情况和查处结果可以公开的，应当及时公开，并按要求与社会信用体系相衔接。</w:t>
      </w:r>
    </w:p>
    <w:p>
      <w:pPr>
        <w:shd w:val="solid" w:color="FFFFFF" w:fill="auto"/>
        <w:kinsoku/>
        <w:autoSpaceDE/>
        <w:autoSpaceDN w:val="0"/>
        <w:spacing w:line="420" w:lineRule="atLeast"/>
        <w:rPr>
          <w:rFonts w:hint="eastAsia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第十四条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检查人员在履行检查职责时应严格执行法定程序，不得无故干扰粮食经营者的正常经营活动。检查过程要严格遵守中央八项规定和有关法律法规，对不认真履行职责、失职渎职的要依法依规严肃问责。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0"/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</w:pPr>
      <w:r>
        <w:rPr>
          <w:rFonts w:hint="eastAsia" w:ascii="宋体" w:hAnsi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第十五条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333333"/>
          <w:spacing w:val="0"/>
          <w:sz w:val="32"/>
          <w:shd w:val="clear" w:color="auto" w:fill="FFFFFF"/>
        </w:rPr>
        <w:t>本</w:t>
      </w:r>
      <w:r>
        <w:rPr>
          <w:rFonts w:hint="eastAsia" w:ascii="宋体" w:hAnsi="宋体"/>
          <w:b w:val="0"/>
          <w:i w:val="0"/>
          <w:snapToGrid/>
          <w:color w:val="333333"/>
          <w:spacing w:val="0"/>
          <w:sz w:val="32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/>
          <w:b w:val="0"/>
          <w:i w:val="0"/>
          <w:snapToGrid/>
          <w:color w:val="333333"/>
          <w:spacing w:val="0"/>
          <w:sz w:val="32"/>
          <w:shd w:val="clear" w:color="auto" w:fill="FFFFFF"/>
        </w:rPr>
        <w:t>细则由</w:t>
      </w:r>
      <w:r>
        <w:rPr>
          <w:rFonts w:hint="eastAsia" w:ascii="宋体" w:hAnsi="宋体"/>
          <w:b w:val="0"/>
          <w:i w:val="0"/>
          <w:snapToGrid/>
          <w:color w:val="333333"/>
          <w:spacing w:val="0"/>
          <w:sz w:val="32"/>
          <w:shd w:val="clear" w:color="auto" w:fill="FFFFFF"/>
          <w:lang w:eastAsia="zh-CN"/>
        </w:rPr>
        <w:t>河南</w:t>
      </w:r>
      <w:r>
        <w:rPr>
          <w:rFonts w:hint="eastAsia" w:ascii="宋体" w:hAnsi="宋体" w:eastAsia="宋体"/>
          <w:b w:val="0"/>
          <w:i w:val="0"/>
          <w:snapToGrid/>
          <w:color w:val="333333"/>
          <w:spacing w:val="0"/>
          <w:sz w:val="32"/>
          <w:shd w:val="clear" w:color="auto" w:fill="FFFFFF"/>
        </w:rPr>
        <w:t>省粮食局监督检查处负责解释。</w:t>
      </w:r>
    </w:p>
    <w:p>
      <w:pPr>
        <w:shd w:val="solid" w:color="FFFFFF" w:fill="auto"/>
        <w:kinsoku/>
        <w:autoSpaceDE/>
        <w:autoSpaceDN w:val="0"/>
        <w:spacing w:line="420" w:lineRule="atLeast"/>
        <w:ind w:firstLine="0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   </w:t>
      </w:r>
      <w:r>
        <w:rPr>
          <w:rFonts w:hint="eastAsia" w:ascii="宋体" w:hAnsi="宋体" w:eastAsia="宋体"/>
          <w:b/>
          <w:i w:val="0"/>
          <w:snapToGrid/>
          <w:color w:val="000000"/>
          <w:spacing w:val="-2"/>
          <w:sz w:val="32"/>
          <w:shd w:val="clear" w:color="auto" w:fill="FFFFFF"/>
        </w:rPr>
        <w:t>第十六条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 xml:space="preserve"> 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本工作细则自</w:t>
      </w:r>
      <w:r>
        <w:rPr>
          <w:rFonts w:hint="eastAsia" w:ascii="宋体" w:hAnsi="宋体"/>
          <w:b w:val="0"/>
          <w:i w:val="0"/>
          <w:snapToGrid/>
          <w:color w:val="000000"/>
          <w:spacing w:val="-2"/>
          <w:sz w:val="32"/>
          <w:shd w:val="clear" w:color="auto" w:fill="FFFFFF"/>
          <w:lang w:eastAsia="zh-CN"/>
        </w:rPr>
        <w:t>公布</w:t>
      </w:r>
      <w:r>
        <w:rPr>
          <w:rFonts w:hint="eastAsia" w:ascii="宋体" w:hAnsi="宋体" w:eastAsia="宋体"/>
          <w:b w:val="0"/>
          <w:i w:val="0"/>
          <w:snapToGrid/>
          <w:color w:val="000000"/>
          <w:spacing w:val="-2"/>
          <w:sz w:val="32"/>
          <w:shd w:val="clear" w:color="auto" w:fill="FFFFFF"/>
        </w:rPr>
        <w:t>之日起施行。</w:t>
      </w: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F729B"/>
    <w:rsid w:val="02FF729B"/>
    <w:rsid w:val="144B3AE7"/>
    <w:rsid w:val="27D7B272"/>
    <w:rsid w:val="5DE3BFF5"/>
    <w:rsid w:val="5FF655E0"/>
    <w:rsid w:val="72DF8301"/>
    <w:rsid w:val="7FFFB850"/>
    <w:rsid w:val="DADBE942"/>
    <w:rsid w:val="DB3FD2F0"/>
    <w:rsid w:val="DFDFF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2022-02-18T10:03:00Z</dcterms:created>
  <dc:creator>administered</dc:creator>
  <cp:lastModifiedBy>sugon</cp:lastModifiedBy>
  <dcterms:modified xsi:type="dcterms:W3CDTF">2022-04-20T09:57:09Z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C5549E8940324795883651EB540E61DC</vt:lpwstr>
  </property>
</Properties>
</file>